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50.png" ContentType="image/png"/>
  <Override PartName="/word/media/rId45.png" ContentType="image/png"/>
  <Override PartName="/word/media/rId47.jpg" ContentType="image/jpeg"/>
  <Override PartName="/word/media/rId74.png" ContentType="image/png"/>
  <Override PartName="/word/media/rId71.png" ContentType="image/png"/>
  <Override PartName="/word/media/rId66.png" ContentType="image/png"/>
  <Override PartName="/word/media/rId65.png" ContentType="image/png"/>
  <Override PartName="/word/media/rId42.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X56a9ecc5cf2e0aa628e078dfedd7747dd2d858c"/>
      <w:r>
        <w:t xml:space="preserve">Abstract (max 350 words) - roman numeral TOC</w:t>
      </w:r>
      <w:bookmarkEnd w:id="20"/>
    </w:p>
    <w:p>
      <w:pPr>
        <w:pStyle w:val="FirstParagraph"/>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 </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2"/>
      </w:pPr>
      <w:bookmarkStart w:id="21" w:name="cgu-poster-abstract"/>
      <w:r>
        <w:t xml:space="preserve">CGU poster abstract</w:t>
      </w:r>
      <w:bookmarkEnd w:id="21"/>
    </w:p>
    <w:p>
      <w:pPr>
        <w:pStyle w:val="FirstParagraph"/>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2" w:name="lay-summary"/>
      <w:r>
        <w:t xml:space="preserve">Lay Summary</w:t>
      </w:r>
      <w:bookmarkEnd w:id="22"/>
    </w:p>
    <w:p>
      <w:pPr>
        <w:pStyle w:val="Compact"/>
        <w:numPr>
          <w:numId w:val="1001"/>
          <w:ilvl w:val="0"/>
        </w:numPr>
      </w:pPr>
      <w:r>
        <w:t xml:space="preserve">(max 150 words) - roman numeral TOC</w:t>
      </w:r>
    </w:p>
    <w:p>
      <w:pPr>
        <w:pStyle w:val="Compact"/>
        <w:numPr>
          <w:numId w:val="1001"/>
          <w:ilvl w:val="0"/>
        </w:numPr>
      </w:pPr>
      <w:r>
        <w:t xml:space="preserve">include plain-language summary</w:t>
      </w:r>
    </w:p>
    <w:p>
      <w:pPr>
        <w:pStyle w:val="Heading1"/>
      </w:pPr>
      <w:bookmarkStart w:id="23" w:name="preface"/>
      <w:r>
        <w:t xml:space="preserve">Preface</w:t>
      </w:r>
      <w:bookmarkEnd w:id="23"/>
    </w:p>
    <w:p>
      <w:pPr>
        <w:pStyle w:val="Compact"/>
        <w:numPr>
          <w:numId w:val="1002"/>
          <w:ilvl w:val="0"/>
        </w:numPr>
      </w:pPr>
      <w:r>
        <w:t xml:space="preserve">roman numeral TOC</w:t>
      </w:r>
    </w:p>
    <w:p>
      <w:pPr>
        <w:pStyle w:val="FirstParagraph"/>
      </w:pPr>
      <w:r>
        <w:t xml:space="preserve">see:</w:t>
      </w:r>
      <w:r>
        <w:t xml:space="preserve"> </w:t>
      </w:r>
      <w:hyperlink r:id="rId24">
        <w:r>
          <w:rPr>
            <w:rStyle w:val="Hyperlink"/>
          </w:rPr>
          <w:t xml:space="preserve">https://www.grad.ubc.ca/sites/default/files/doc/page/thesis_sample_prefaces.pdf</w:t>
        </w:r>
      </w:hyperlink>
    </w:p>
    <w:p>
      <w:pPr>
        <w:pStyle w:val="Compact"/>
        <w:numPr>
          <w:numId w:val="1003"/>
          <w:ilvl w:val="0"/>
        </w:numPr>
      </w:pPr>
      <w:r>
        <w:t xml:space="preserve">TOC follows, then LOT, LOF, List of Illustrations, list of abbreviations</w:t>
      </w:r>
    </w:p>
    <w:p>
      <w:pPr>
        <w:pStyle w:val="FirstParagraph"/>
      </w:pPr>
      <w:r>
        <w:rPr>
          <w:b/>
        </w:rPr>
        <w:t xml:space="preserve">List of Abbreviations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Heading1"/>
      </w:pPr>
      <w:bookmarkStart w:id="25" w:name="acknowledgments"/>
      <w:r>
        <w:t xml:space="preserve">Acknowledgments</w:t>
      </w:r>
      <w:bookmarkEnd w:id="25"/>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thanks for making me feel welcome on site and including me daily field operations.</w:t>
      </w:r>
    </w:p>
    <w:p>
      <w:pPr>
        <w:pStyle w:val="BodyText"/>
      </w:pPr>
      <w:r>
        <w:t xml:space="preserve"> </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taking me on as a master’s student.</w:t>
      </w:r>
    </w:p>
    <w:p>
      <w:pPr>
        <w:pStyle w:val="BodyText"/>
      </w:pPr>
      <w:r>
        <w:t xml:space="preserve"> </w:t>
      </w:r>
    </w:p>
    <w:p>
      <w:pPr>
        <w:pStyle w:val="BodyText"/>
      </w:pPr>
      <w:r>
        <w:t xml:space="preserve">For help with field installations and streamflow gauging, a big thanks to my friend and former field partner, Stewart Butler, of Bill Floyd’s Coastal Hydrology Research Lab; thanks Stew. Thanks also to Alison Bishop for field assistance during the winter of 2019/2020.</w:t>
      </w:r>
    </w:p>
    <w:p>
      <w:pPr>
        <w:pStyle w:val="BodyText"/>
      </w:pPr>
      <w:r>
        <w:t xml:space="preserve"> </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w:t>
      </w:r>
    </w:p>
    <w:p>
      <w:pPr>
        <w:pStyle w:val="Heading1"/>
      </w:pPr>
      <w:bookmarkStart w:id="26" w:name="dedication"/>
      <w:r>
        <w:t xml:space="preserve">Dedication</w:t>
      </w:r>
      <w:bookmarkEnd w:id="26"/>
    </w:p>
    <w:p>
      <w:pPr>
        <w:pStyle w:val="FirstParagraph"/>
      </w:pPr>
      <w:r>
        <w:t xml:space="preserve">To each person who reads this thesis in its entirety.</w:t>
      </w:r>
    </w:p>
    <w:p>
      <w:pPr>
        <w:pStyle w:val="BodyText"/>
      </w:pPr>
      <w:r>
        <w:t xml:space="preserve"> </w:t>
      </w:r>
    </w:p>
    <w:p>
      <w:pPr>
        <w:pStyle w:val="BodyText"/>
      </w:pPr>
      <w:r>
        <w:t xml:space="preserve">To the love of data science: I’m grateful for Jenny Byran’s online resources,</w:t>
      </w:r>
      <w:r>
        <w:t xml:space="preserve"> </w:t>
      </w:r>
      <w:hyperlink r:id="rId27">
        <w:r>
          <w:rPr>
            <w:rStyle w:val="Hyperlink"/>
          </w:rPr>
          <w:t xml:space="preserve">StackOverflow</w:t>
        </w:r>
      </w:hyperlink>
      <w:r>
        <w:t xml:space="preserve"> </w:t>
      </w:r>
      <w:r>
        <w:t xml:space="preserve">for the solution to so many coding challenges.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Heading1"/>
      </w:pPr>
      <w:bookmarkStart w:id="28" w:name="introduction"/>
      <w:r>
        <w:t xml:space="preserve">1 Introduction</w:t>
      </w:r>
      <w:bookmarkEnd w:id="28"/>
    </w:p>
    <w:p>
      <w:pPr>
        <w:pStyle w:val="Heading2"/>
      </w:pPr>
      <w:bookmarkStart w:id="29" w:name="X950a60ad65bf96ca879ca6f7ac714147c4499d1"/>
      <w:r>
        <w:t xml:space="preserve">1.1 Forested source water supplies and drinking water treatment</w:t>
      </w:r>
      <w:bookmarkEnd w:id="29"/>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 [</w:t>
      </w:r>
      <w:r>
        <w:t xml:space="preserve">British Columbia Ministry of Environment (</w:t>
      </w:r>
      <w:hyperlink w:anchor="ref-BC2019">
        <w:r>
          <w:rPr>
            <w:rStyle w:val="Hyperlink"/>
          </w:rPr>
          <w:t xml:space="preserve">2017</w:t>
        </w:r>
      </w:hyperlink>
      <w:r>
        <w:t xml:space="preserve">)</w:t>
      </w:r>
      <w:r>
        <w:t xml:space="preserve">; HealthLinkBC2018].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influences,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Primarily, colour is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w:t>
      </w:r>
      <w:r>
        <w:t xml:space="preserve"> </w:t>
      </w:r>
      <w:r>
        <w:t xml:space="preserve">NOM reduces treatment effectiveness by interfering with ultraviolet (UV) disinfection and/or increasing chlorination demand, and because NOM promotes biological growth, can lead to fouling of treatment and distribution infrastructure [Matilainen2010; HealthCanada2019; Jacangelo1995]. Depending on the infrastructure design and operation of a drinking water treatment plant, elevated levels of NOM in source water can increase coagulant and disinfectant demand which increase the production of sludge (to be disposed of) and creation of disinfection byproducts</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w:t>
      </w:r>
      <w:r>
        <w:t xml:space="preserve">Richardson et al. (</w:t>
      </w:r>
      <w:hyperlink w:anchor="ref-Richardson2007">
        <w:r>
          <w:rPr>
            <w:rStyle w:val="Hyperlink"/>
          </w:rPr>
          <w:t xml:space="preserve">2007</w:t>
        </w:r>
      </w:hyperlink>
      <w:r>
        <w:t xml:space="preserve">)</w:t>
      </w:r>
      <w:r>
        <w:t xml:space="preserve">;</w:t>
      </w:r>
      <w:r>
        <w:t xml:space="preserve"> </w:t>
      </w:r>
      <w:r>
        <w:t xml:space="preserve">British Columbia Ministry of Environment (</w:t>
      </w:r>
      <w:hyperlink w:anchor="ref-BC2019">
        <w:r>
          <w:rPr>
            <w:rStyle w:val="Hyperlink"/>
          </w:rPr>
          <w:t xml:space="preserve">2017</w:t>
        </w:r>
      </w:hyperlink>
      <w:r>
        <w:t xml:space="preserve">)</w:t>
      </w:r>
      <w:r>
        <w:t xml:space="preserve">; HealthCanada2019].</w:t>
      </w:r>
    </w:p>
    <w:p>
      <w:pPr>
        <w:pStyle w:val="Heading2"/>
      </w:pPr>
      <w:bookmarkStart w:id="30" w:name="aqueous-natural-organic-matter"/>
      <w:r>
        <w:t xml:space="preserve">1.2 Aqueous natural organic matter</w:t>
      </w:r>
      <w:bookmarkEnd w:id="30"/>
    </w:p>
    <w:p>
      <w:pPr>
        <w:pStyle w:val="FirstParagraph"/>
      </w:pPr>
      <w:r>
        <w:t xml:space="preserve">Natural organic matter (NOM) concentration and character vary widely in source water depending on source material, hydrology, and biogeochemical factors [</w:t>
      </w:r>
      <w:r>
        <w:t xml:space="preserve">Aiken, Hsu-Kim, and Ryan (</w:t>
      </w:r>
      <w:hyperlink w:anchor="ref-Aiken2011">
        <w:r>
          <w:rPr>
            <w:rStyle w:val="Hyperlink"/>
          </w:rPr>
          <w:t xml:space="preserve">2011</w:t>
        </w:r>
      </w:hyperlink>
      <w:r>
        <w:t xml:space="preserve">)</w:t>
      </w:r>
      <w:r>
        <w:t xml:space="preserve">;</w:t>
      </w:r>
      <w:r>
        <w:t xml:space="preserve"> </w:t>
      </w:r>
      <w:r>
        <w:t xml:space="preserve">Abbott et al. (</w:t>
      </w:r>
      <w:hyperlink w:anchor="ref-Abbott2018">
        <w:r>
          <w:rPr>
            <w:rStyle w:val="Hyperlink"/>
          </w:rPr>
          <w:t xml:space="preserve">2018</w:t>
        </w:r>
      </w:hyperlink>
      <w:r>
        <w:t xml:space="preserve">)</w:t>
      </w:r>
      <w:r>
        <w:t xml:space="preserve">;</w:t>
      </w:r>
      <w:r>
        <w:t xml:space="preserve"> </w:t>
      </w:r>
      <w:r>
        <w:t xml:space="preserve">Zarnetske et al. (</w:t>
      </w:r>
      <w:hyperlink w:anchor="ref-Zarnetske2018">
        <w:r>
          <w:rPr>
            <w:rStyle w:val="Hyperlink"/>
          </w:rPr>
          <w:t xml:space="preserve">2018</w:t>
        </w:r>
      </w:hyperlink>
      <w:r>
        <w:t xml:space="preserve">)</w:t>
      </w:r>
      <w:r>
        <w:t xml:space="preserve">; Matilainen2010].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@Yang2015)</w:t>
      </w:r>
      <w:r>
        <w:t xml:space="preserve">.</w:t>
      </w:r>
    </w:p>
    <w:p>
      <w:pPr>
        <w:pStyle w:val="Heading2"/>
      </w:pPr>
      <w:bookmarkStart w:id="31" w:name="watershed-processes-and-water-quality"/>
      <w:r>
        <w:t xml:space="preserve">1.3 Watershed processes and water quality</w:t>
      </w:r>
      <w:bookmarkEnd w:id="31"/>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the majority of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our changing climate is likely to lead to increases in hydrologic pulse generation - whether through increased precipitation, earlier or more intense freshet conditions, or changes in subsurface flow conditions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Heading2"/>
      </w:pPr>
      <w:bookmarkStart w:id="32" w:name="forwater-crd-gvwsa"/>
      <w:r>
        <w:t xml:space="preserve">1.4 forWater &amp; CRD GVWSA</w:t>
      </w:r>
      <w:bookmarkEnd w:id="32"/>
    </w:p>
    <w:p>
      <w:pPr>
        <w:pStyle w:val="Heading3"/>
      </w:pPr>
      <w:bookmarkStart w:id="33" w:name="the-forwater-network"/>
      <w:r>
        <w:t xml:space="preserve">1.4.1 The forWater Network</w:t>
      </w:r>
      <w:bookmarkEnd w:id="33"/>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of forested source water.</w:t>
      </w:r>
    </w:p>
    <w:p>
      <w:pPr>
        <w:pStyle w:val="BodyText"/>
      </w:pPr>
      <w:r>
        <w:t xml:space="preserve"> </w:t>
      </w:r>
    </w:p>
    <w:p>
      <w:pPr>
        <w:pStyle w:val="BodyText"/>
      </w:pPr>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High intensity and/or long duration precipitation events can deplete both terrestrial and aquatic NOM storage sources (e.g. high flows can disturb benthic NOM storage)</w:t>
      </w:r>
      <w:r>
        <w:t xml:space="preserve"> </w:t>
      </w:r>
      <w:r>
        <w:t xml:space="preserve">(Meyer and Tate</w:t>
      </w:r>
      <w:r>
        <w:t xml:space="preserve"> </w:t>
      </w:r>
      <w:hyperlink w:anchor="ref-Meyer1983">
        <w:r>
          <w:rPr>
            <w:rStyle w:val="Hyperlink"/>
          </w:rPr>
          <w:t xml:space="preserve">1983</w:t>
        </w:r>
      </w:hyperlink>
      <w:r>
        <w:t xml:space="preserve">)</w:t>
      </w:r>
      <w:r>
        <w:t xml:space="preserve">. Understanding the hydrochemistry of a water supply area is key to conducting informed preventative forest management applications.</w:t>
      </w:r>
    </w:p>
    <w:p>
      <w:pPr>
        <w:pStyle w:val="Heading3"/>
      </w:pPr>
      <w:bookmarkStart w:id="34" w:name="greater-victoria-water-supply-areas"/>
      <w:r>
        <w:t xml:space="preserve">1.4.2 Greater Victoria Water Supply Areas</w:t>
      </w:r>
      <w:bookmarkEnd w:id="34"/>
    </w:p>
    <w:p>
      <w:pPr>
        <w:pStyle w:val="FirstParagraph"/>
      </w:pPr>
      <w:r>
        <w:t xml:space="preserve">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and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w:t>
      </w:r>
    </w:p>
    <w:p>
      <w:pPr>
        <w:pStyle w:val="Heading4"/>
      </w:pPr>
      <w:bookmarkStart w:id="35" w:name="forest-management"/>
      <w:r>
        <w:t xml:space="preserve">1.4.2.1 Forest management</w:t>
      </w:r>
      <w:bookmarkEnd w:id="35"/>
    </w:p>
    <w:p>
      <w:pPr>
        <w:pStyle w:val="FirstParagraph"/>
      </w:pPr>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Heading4"/>
      </w:pPr>
      <w:bookmarkStart w:id="36" w:name="Xa16e3865f55dfa335216c3b7e239c586bbd6383"/>
      <w:r>
        <w:t xml:space="preserve">1.4.2.2 Greater Victoria Drinking Water Treatment</w:t>
      </w:r>
      <w:bookmarkEnd w:id="36"/>
    </w:p>
    <w:p>
      <w:pPr>
        <w:pStyle w:val="FirstParagraph"/>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2"/>
      </w:pPr>
      <w:bookmarkStart w:id="37" w:name="research-objectives"/>
      <w:r>
        <w:t xml:space="preserve">1.5 Research Objectives</w:t>
      </w:r>
      <w:bookmarkEnd w:id="37"/>
    </w:p>
    <w:p>
      <w:pPr>
        <w:pStyle w:val="FirstParagraph"/>
      </w:pPr>
      <w:r>
        <w:t xml:space="preserve">As a member of the Watershed Science and Forest Management Theme of forWater,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1"/>
      </w:pPr>
      <w:bookmarkStart w:id="38" w:name="methods"/>
      <w:r>
        <w:t xml:space="preserve">2 Methods</w:t>
      </w:r>
      <w:bookmarkEnd w:id="38"/>
    </w:p>
    <w:p>
      <w:pPr>
        <w:pStyle w:val="Heading2"/>
      </w:pPr>
      <w:bookmarkStart w:id="39" w:name="study-site-leech-river-watershed"/>
      <w:r>
        <w:t xml:space="preserve">2.1 Study Site: Leech River Watershed</w:t>
      </w:r>
      <w:bookmarkEnd w:id="39"/>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w:t>
      </w:r>
    </w:p>
    <w:p>
      <w:pPr>
        <w:pStyle w:val="BodyText"/>
      </w:pPr>
      <w:r>
        <w:drawing>
          <wp:inline>
            <wp:extent cx="5943600" cy="5230705"/>
            <wp:effectExtent b="0" l="0" r="0" t="0"/>
            <wp:docPr descr="__Figure_The Leech and Sooke Water Supply Areas (Greater Victoria, CRD)" title="" id="1" name="Picture"/>
            <a:graphic>
              <a:graphicData uri="http://schemas.openxmlformats.org/drawingml/2006/picture">
                <pic:pic>
                  <pic:nvPicPr>
                    <pic:cNvPr descr="R-inputs_UBC-forWater-MSc_HMc/images/GVWSA_map-3.png" id="0" name="Picture"/>
                    <pic:cNvPicPr>
                      <a:picLocks noChangeArrowheads="1" noChangeAspect="1"/>
                    </pic:cNvPicPr>
                  </pic:nvPicPr>
                  <pic:blipFill>
                    <a:blip r:embed="rId40"/>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3"/>
      </w:pPr>
      <w:bookmarkStart w:id="41" w:name="climate-weather-forests"/>
      <w:r>
        <w:t xml:space="preserve">2.1.1 Climate, Weather, Forests</w:t>
      </w:r>
      <w:bookmarkEnd w:id="41"/>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Figure PPP. 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pPr>
        <w:pStyle w:val="BodyText"/>
      </w:pPr>
      <w:r>
        <w:t xml:space="preserve"> </w:t>
      </w:r>
    </w:p>
    <w:p>
      <w:pPr>
        <w:pStyle w:val="BodyText"/>
      </w:pPr>
      <w:r>
        <w:t xml:space="preserve">These data included air temperature and precipitation. Precipitation data acquired from the CRD was used to delineate storms using (R package Rainmaker). Temperature data was referenced to subbasin temperatures recorded by vertical rack TidbiT loggers.</w:t>
      </w:r>
    </w:p>
    <w:p>
      <w:pPr>
        <w:pStyle w:val="BodyText"/>
      </w:pPr>
      <w:r>
        <w:t xml:space="preserve"> </w:t>
      </w:r>
    </w:p>
    <w:p>
      <w:pPr>
        <w:pStyle w:val="BodyText"/>
      </w:pPr>
      <w:r>
        <w:drawing>
          <wp:inline>
            <wp:extent cx="3669832" cy="2752374"/>
            <wp:effectExtent b="0" l="0" r="0" t="0"/>
            <wp:docPr descr="__Figure PPP_Plots of weather from the two fire weather stations in the Leech Water Supply Area"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42"/>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t xml:space="preserve"> </w:t>
      </w:r>
    </w:p>
    <w:p>
      <w:pPr>
        <w:pStyle w:val="BodyText"/>
      </w:pPr>
      <w:r>
        <w:t xml:space="preserve">There is a weather station on the Malahat mountain pass, east of the study site (ID 62091, BC Ministry of Transportation and Infrastructure and Pacific Climate Impacts) that had precipitation and air temperature data available from 2014 to 2020. Figure ##### shows weather data from the Malahat weather station and highlights the period in which this research occurred in which there were no obvious deviations from previous years.</w:t>
      </w:r>
    </w:p>
    <w:p>
      <w:pPr>
        <w:pStyle w:val="BodyText"/>
      </w:pPr>
      <w:r>
        <w:t xml:space="preserve"> </w:t>
      </w:r>
    </w:p>
    <w:p>
      <w:pPr>
        <w:pStyle w:val="BodyText"/>
      </w:pPr>
      <w:r>
        <w:drawing>
          <wp:inline>
            <wp:extent cx="5943600" cy="3668888"/>
            <wp:effectExtent b="0" l="0" r="0" t="0"/>
            <wp:docPr descr="__Figure_Plot of weather from the nearby Malahat Wx station with the period of study highlighted"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43"/>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p>
    <w:p>
      <w:pPr>
        <w:pStyle w:val="Heading3"/>
      </w:pPr>
      <w:bookmarkStart w:id="44" w:name="synoptic-sampling-sites"/>
      <w:r>
        <w:t xml:space="preserve">2.1.2 Synoptic sampling sites</w:t>
      </w:r>
      <w:bookmarkEnd w:id="44"/>
    </w:p>
    <w:p>
      <w:pPr>
        <w:pStyle w:val="FirstParagraph"/>
      </w:pPr>
      <w:r>
        <w:t xml:space="preserve">Fifteen sites were sampled synoptically from October 2018 to February 2020. Figure ### shows the locations of the synoptically sampled sites as well as the two weather stations.</w:t>
      </w:r>
    </w:p>
    <w:p>
      <w:pPr>
        <w:pStyle w:val="BodyText"/>
      </w:pPr>
      <w:r>
        <w:t xml:space="preserve"> </w:t>
      </w:r>
    </w:p>
    <w:p>
      <w:pPr>
        <w:pStyle w:val="BodyText"/>
      </w:pPr>
      <w:r>
        <w:drawing>
          <wp:inline>
            <wp:extent cx="5943600" cy="4224742"/>
            <wp:effectExtent b="0" l="0" r="0" t="0"/>
            <wp:docPr descr="__Figure_The Leech and Sooke Water Supply Areas (Greater Victoria, CRD)" title="" id="1" name="Picture"/>
            <a:graphic>
              <a:graphicData uri="http://schemas.openxmlformats.org/drawingml/2006/picture">
                <pic:pic>
                  <pic:nvPicPr>
                    <pic:cNvPr descr="R-inputs_UBC-forWater-MSc_HMc/images/Sample-Sites_Wx_map.png" id="0" name="Picture"/>
                    <pic:cNvPicPr>
                      <a:picLocks noChangeArrowheads="1" noChangeAspect="1"/>
                    </pic:cNvPicPr>
                  </pic:nvPicPr>
                  <pic:blipFill>
                    <a:blip r:embed="rId45"/>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3"/>
      </w:pPr>
      <w:bookmarkStart w:id="46" w:name="subbasin-monitoring-sites"/>
      <w:r>
        <w:t xml:space="preserve">2.1.3 Subbasin monitoring sites</w:t>
      </w:r>
      <w:bookmarkEnd w:id="46"/>
    </w:p>
    <w:p>
      <w:pPr>
        <w:pStyle w:val="FirstParagraph"/>
      </w:pPr>
      <w:r>
        <w:t xml:space="preserve">Six sites were selected across the Leech Water Supply Area which represent five nested catchments and the entire water supply area basin defined from the point of (future) diversion, the Leech Tunnel. These subbasin research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pPr>
        <w:pStyle w:val="CaptionedFigure"/>
      </w:pPr>
      <w:r>
        <w:drawing>
          <wp:inline>
            <wp:extent cx="4980432" cy="5504688"/>
            <wp:effectExtent b="0" l="0" r="0" t="0"/>
            <wp:docPr descr="__Figure_Subbasin monitoring sites in the Leech Water Supply Area" title="" id="1" name="Picture"/>
            <a:graphic>
              <a:graphicData uri="http://schemas.openxmlformats.org/drawingml/2006/picture">
                <pic:pic>
                  <pic:nvPicPr>
                    <pic:cNvPr descr="R-inputs_UBC-forWater-MSc_HMc/images/sub-basins.jpg" id="0" name="Picture"/>
                    <pic:cNvPicPr>
                      <a:picLocks noChangeArrowheads="1" noChangeAspect="1"/>
                    </pic:cNvPicPr>
                  </pic:nvPicPr>
                  <pic:blipFill>
                    <a:blip r:embed="rId47"/>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t xml:space="preserve">__Figure_</w:t>
      </w:r>
      <w:r>
        <w:rPr>
          <w:i/>
        </w:rPr>
        <w:t xml:space="preserve">Subbasin monitoring sites in the Leech Water Supply Area</w:t>
      </w:r>
    </w:p>
    <w:p>
      <w:pPr>
        <w:pStyle w:val="BodyText"/>
      </w:pPr>
      <w:r>
        <w:t xml:space="preserve"> </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Percent Forest</w:t>
            </w:r>
          </w:p>
        </w:tc>
        <w:tc>
          <w:tcPr>
            <w:tcBorders>
              <w:bottom w:val="single"/>
            </w:tcBorders>
            <w:vAlign w:val="bottom"/>
          </w:tcPr>
          <w:p>
            <w:pPr>
              <w:pStyle w:val="Compact"/>
              <w:jc w:val="left"/>
            </w:pPr>
            <w:r>
              <w:t xml:space="preserve">Percent Wetland</w:t>
            </w:r>
          </w:p>
        </w:tc>
        <w:tc>
          <w:tcPr>
            <w:tcBorders>
              <w:bottom w:val="single"/>
            </w:tcBorders>
            <w:vAlign w:val="bottom"/>
          </w:tcPr>
          <w:p>
            <w:pPr>
              <w:pStyle w:val="Compact"/>
              <w:jc w:val="left"/>
            </w:pPr>
            <w:r>
              <w:t xml:space="preserve">Parent Material</w:t>
            </w:r>
          </w:p>
        </w:tc>
      </w:tr>
      <w:tr>
        <w:tc>
          <w:p>
            <w:pPr>
              <w:pStyle w:val="Compact"/>
              <w:jc w:val="right"/>
            </w:pPr>
            <w:r>
              <w:t xml:space="preserve">1</w:t>
            </w:r>
          </w:p>
        </w:tc>
        <w:tc>
          <w:p>
            <w:pPr>
              <w:pStyle w:val="Compact"/>
              <w:jc w:val="left"/>
            </w:pPr>
            <w:r>
              <w:t xml:space="preserve">Weeks</w:t>
            </w:r>
          </w:p>
        </w:tc>
        <w:tc>
          <w:p>
            <w:pPr>
              <w:pStyle w:val="Compact"/>
              <w:jc w:val="right"/>
            </w:pPr>
            <w:r>
              <w:t xml:space="preserve">48.57568</w:t>
            </w:r>
          </w:p>
        </w:tc>
        <w:tc>
          <w:p>
            <w:pPr>
              <w:pStyle w:val="Compact"/>
              <w:jc w:val="right"/>
            </w:pPr>
            <w:r>
              <w:t xml:space="preserve">-123.8456</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521</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2</w:t>
            </w:r>
          </w:p>
        </w:tc>
        <w:tc>
          <w:p>
            <w:pPr>
              <w:pStyle w:val="Compact"/>
              <w:jc w:val="left"/>
            </w:pPr>
            <w:r>
              <w:t xml:space="preserve">Chris Creek</w:t>
            </w:r>
          </w:p>
        </w:tc>
        <w:tc>
          <w:p>
            <w:pPr>
              <w:pStyle w:val="Compact"/>
              <w:jc w:val="right"/>
            </w:pPr>
            <w:r>
              <w:t xml:space="preserve">48.57739</w:t>
            </w:r>
          </w:p>
        </w:tc>
        <w:tc>
          <w:p>
            <w:pPr>
              <w:pStyle w:val="Compact"/>
              <w:jc w:val="right"/>
            </w:pPr>
            <w:r>
              <w:t xml:space="preserve">-123.8403</w:t>
            </w:r>
          </w:p>
        </w:tc>
        <w:tc>
          <w:p>
            <w:pPr>
              <w:pStyle w:val="Compact"/>
              <w:jc w:val="left"/>
            </w:pPr>
            <w:r>
              <w:t xml:space="preserve">Headwaters</w:t>
            </w:r>
          </w:p>
        </w:tc>
        <w:tc>
          <w:p>
            <w:pPr>
              <w:pStyle w:val="Compact"/>
              <w:jc w:val="right"/>
            </w:pPr>
            <w:r>
              <w:t xml:space="preserve">9.6</w:t>
            </w:r>
          </w:p>
        </w:tc>
        <w:tc>
          <w:p>
            <w:pPr>
              <w:pStyle w:val="Compact"/>
              <w:jc w:val="right"/>
            </w:pPr>
            <w:r>
              <w:t xml:space="preserve">522</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3</w:t>
            </w:r>
          </w:p>
        </w:tc>
        <w:tc>
          <w:p>
            <w:pPr>
              <w:pStyle w:val="Compact"/>
              <w:jc w:val="left"/>
            </w:pPr>
            <w:r>
              <w:t xml:space="preserve">Leech Head</w:t>
            </w:r>
          </w:p>
        </w:tc>
        <w:tc>
          <w:p>
            <w:pPr>
              <w:pStyle w:val="Compact"/>
              <w:jc w:val="right"/>
            </w:pPr>
            <w:r>
              <w:t xml:space="preserve">48.56647</w:t>
            </w:r>
          </w:p>
        </w:tc>
        <w:tc>
          <w:p>
            <w:pPr>
              <w:pStyle w:val="Compact"/>
              <w:jc w:val="right"/>
            </w:pPr>
            <w:r>
              <w:t xml:space="preserve">-123.8257</w:t>
            </w:r>
          </w:p>
        </w:tc>
        <w:tc>
          <w:p>
            <w:pPr>
              <w:pStyle w:val="Compact"/>
              <w:jc w:val="left"/>
            </w:pPr>
            <w:r>
              <w:t xml:space="preserve">Mainstem river head</w:t>
            </w:r>
          </w:p>
        </w:tc>
        <w:tc>
          <w:p>
            <w:pPr>
              <w:pStyle w:val="Compact"/>
              <w:jc w:val="right"/>
            </w:pPr>
            <w:r>
              <w:t xml:space="preserve">26.2</w:t>
            </w:r>
          </w:p>
        </w:tc>
        <w:tc>
          <w:p>
            <w:pPr>
              <w:pStyle w:val="Compact"/>
              <w:jc w:val="right"/>
            </w:pPr>
            <w:r>
              <w:t xml:space="preserve">476</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4</w:t>
            </w:r>
          </w:p>
        </w:tc>
        <w:tc>
          <w:p>
            <w:pPr>
              <w:pStyle w:val="Compact"/>
              <w:jc w:val="left"/>
            </w:pPr>
            <w:r>
              <w:t xml:space="preserve">Cragg Creek</w:t>
            </w:r>
          </w:p>
        </w:tc>
        <w:tc>
          <w:p>
            <w:pPr>
              <w:pStyle w:val="Compact"/>
              <w:jc w:val="right"/>
            </w:pPr>
            <w:r>
              <w:t xml:space="preserve">48.54783</w:t>
            </w:r>
          </w:p>
        </w:tc>
        <w:tc>
          <w:p>
            <w:pPr>
              <w:pStyle w:val="Compact"/>
              <w:jc w:val="right"/>
            </w:pPr>
            <w:r>
              <w:t xml:space="preserve">-123.7711</w:t>
            </w:r>
          </w:p>
        </w:tc>
        <w:tc>
          <w:p>
            <w:pPr>
              <w:pStyle w:val="Compact"/>
              <w:jc w:val="left"/>
            </w:pPr>
            <w:r>
              <w:t xml:space="preserve">Mainstem river</w:t>
            </w:r>
          </w:p>
        </w:tc>
        <w:tc>
          <w:p>
            <w:pPr>
              <w:pStyle w:val="Compact"/>
              <w:jc w:val="right"/>
            </w:pPr>
            <w:r>
              <w:t xml:space="preserve">37.1</w:t>
            </w:r>
          </w:p>
        </w:tc>
        <w:tc>
          <w:p>
            <w:pPr>
              <w:pStyle w:val="Compact"/>
              <w:jc w:val="right"/>
            </w:pPr>
            <w:r>
              <w:t xml:space="preserve">509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5</w:t>
            </w:r>
          </w:p>
        </w:tc>
        <w:tc>
          <w:p>
            <w:pPr>
              <w:pStyle w:val="Compact"/>
              <w:jc w:val="left"/>
            </w:pPr>
            <w:r>
              <w:t xml:space="preserve">West Leech</w:t>
            </w:r>
          </w:p>
        </w:tc>
        <w:tc>
          <w:p>
            <w:pPr>
              <w:pStyle w:val="Compact"/>
              <w:jc w:val="right"/>
            </w:pPr>
            <w:r>
              <w:t xml:space="preserve">48.50688</w:t>
            </w:r>
          </w:p>
        </w:tc>
        <w:tc>
          <w:p>
            <w:pPr>
              <w:pStyle w:val="Compact"/>
              <w:jc w:val="right"/>
            </w:pPr>
            <w:r>
              <w:t xml:space="preserve">-123.7847</w:t>
            </w:r>
          </w:p>
        </w:tc>
        <w:tc>
          <w:p>
            <w:pPr>
              <w:pStyle w:val="Compact"/>
              <w:jc w:val="left"/>
            </w:pPr>
            <w:r>
              <w:t xml:space="preserve">Mainstem river</w:t>
            </w:r>
          </w:p>
        </w:tc>
        <w:tc>
          <w:p>
            <w:pPr>
              <w:pStyle w:val="Compact"/>
              <w:jc w:val="right"/>
            </w:pPr>
            <w:r>
              <w:t xml:space="preserve">35.2</w:t>
            </w:r>
          </w:p>
        </w:tc>
        <w:tc>
          <w:p>
            <w:pPr>
              <w:pStyle w:val="Compact"/>
              <w:jc w:val="right"/>
            </w:pPr>
            <w:r>
              <w:t xml:space="preserve">248</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6</w:t>
            </w:r>
          </w:p>
        </w:tc>
        <w:tc>
          <w:p>
            <w:pPr>
              <w:pStyle w:val="Compact"/>
              <w:jc w:val="left"/>
            </w:pPr>
            <w:r>
              <w:t xml:space="preserve">Leech Tunnel</w:t>
            </w:r>
          </w:p>
        </w:tc>
        <w:tc>
          <w:p>
            <w:pPr>
              <w:pStyle w:val="Compact"/>
              <w:jc w:val="right"/>
            </w:pPr>
            <w:r>
              <w:t xml:space="preserve">48.50701</w:t>
            </w:r>
          </w:p>
        </w:tc>
        <w:tc>
          <w:p>
            <w:pPr>
              <w:pStyle w:val="Compact"/>
              <w:jc w:val="right"/>
            </w:pPr>
            <w:r>
              <w:t xml:space="preserve">-123.7674</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207</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BodyText"/>
      </w:pPr>
      <w:r>
        <w:t xml:space="preserve"> </w:t>
      </w:r>
    </w:p>
    <w:p>
      <w:pPr>
        <w:pStyle w:val="Heading4"/>
      </w:pPr>
      <w:bookmarkStart w:id="48" w:name="subbasin-sampling-and-installations"/>
      <w:r>
        <w:t xml:space="preserve">2.1.3.1 Subbasin sampling and installations</w:t>
      </w:r>
      <w:bookmarkEnd w:id="48"/>
    </w:p>
    <w:p>
      <w:pPr>
        <w:pStyle w:val="FirstParagraph"/>
      </w:pPr>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w:t>
      </w:r>
      <w:r>
        <w:t xml:space="preserve"> </w:t>
      </w:r>
      <w:hyperlink r:id="rId49">
        <w:r>
          <w:rPr>
            <w:rStyle w:val="Hyperlink"/>
          </w:rPr>
          <w:t xml:space="preserve">Odyssey Capacitance water level logger</w:t>
        </w:r>
      </w:hyperlink>
      <w:r>
        <w:t xml:space="preserve">; and on either side of the central stilling well was a slotted offset angle bar onto which hose clamps held sample bottles fit with custom siphon lids (Fig. #####). By combining the height at which each siphon bottle filled with observed stage from the stilling-well tape and Logger data, the date and time for each rising-stage sample collection was determined.</w:t>
      </w:r>
    </w:p>
    <w:p>
      <w:pPr>
        <w:pStyle w:val="BodyText"/>
      </w:pPr>
      <w:r>
        <w:t xml:space="preserve"> </w:t>
      </w:r>
    </w:p>
    <w:p>
      <w:pPr>
        <w:pStyle w:val="CaptionedFigure"/>
      </w:pPr>
      <w:r>
        <w:drawing>
          <wp:inline>
            <wp:extent cx="3448944" cy="6904026"/>
            <wp:effectExtent b="0" l="0" r="0" t="0"/>
            <wp:docPr descr="Figure ###: Rising limb siphon sampler bottle" title="" id="1" name="Picture"/>
            <a:graphic>
              <a:graphicData uri="http://schemas.openxmlformats.org/drawingml/2006/picture">
                <pic:pic>
                  <pic:nvPicPr>
                    <pic:cNvPr descr="R-inputs_UBC-forWater-MSc_HMc/images/Rack_bottle-insert.png" id="0" name="Picture"/>
                    <pic:cNvPicPr>
                      <a:picLocks noChangeArrowheads="1" noChangeAspect="1"/>
                    </pic:cNvPicPr>
                  </pic:nvPicPr>
                  <pic:blipFill>
                    <a:blip r:embed="rId50"/>
                    <a:stretch>
                      <a:fillRect/>
                    </a:stretch>
                  </pic:blipFill>
                  <pic:spPr bwMode="auto">
                    <a:xfrm>
                      <a:off x="0" y="0"/>
                      <a:ext cx="3448944" cy="6904026"/>
                    </a:xfrm>
                    <a:prstGeom prst="rect">
                      <a:avLst/>
                    </a:prstGeom>
                    <a:noFill/>
                    <a:ln w="9525">
                      <a:noFill/>
                      <a:headEnd/>
                      <a:tailEnd/>
                    </a:ln>
                  </pic:spPr>
                </pic:pic>
              </a:graphicData>
            </a:graphic>
          </wp:inline>
        </w:drawing>
      </w:r>
    </w:p>
    <w:p>
      <w:pPr>
        <w:pStyle w:val="ImageCaption"/>
      </w:pPr>
      <w:r>
        <w:rPr>
          <w:b/>
        </w:rPr>
        <w:t xml:space="preserve">Figure ###</w:t>
      </w:r>
      <w:r>
        <w:t xml:space="preserve">: Rising limb siphon sampler bottle</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5"/>
      </w:pPr>
      <w:bookmarkStart w:id="51" w:name="X9615c63c5149846fb419ac5f49bb338728a17ea"/>
      <w:r>
        <w:t xml:space="preserve">2.1.3.1.1 Vertical rack sampling QA/QC: Siphon sampler assumptions</w:t>
      </w:r>
      <w:bookmarkEnd w:id="51"/>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5"/>
      </w:pPr>
      <w:bookmarkStart w:id="52" w:name="Xe230304f074c828928113cae8bc8ee260bba4ea"/>
      <w:r>
        <w:t xml:space="preserve">2.1.3.1.2 Vertical rack sampling QA/QC: Sample hold-times and temperatures</w:t>
      </w:r>
      <w:bookmarkEnd w:id="52"/>
    </w:p>
    <w:p>
      <w:pPr>
        <w:pStyle w:val="FirstParagraph"/>
      </w:pPr>
      <w:r>
        <w:t xml:space="preserve">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pPr>
        <w:pStyle w:val="BodyText"/>
      </w:pPr>
      <w:r>
        <w:t xml:space="preserve"> </w:t>
      </w:r>
    </w:p>
    <w:p>
      <w:pPr>
        <w:pStyle w:val="BodyText"/>
      </w:pPr>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pPr>
        <w:pStyle w:val="Heading5"/>
      </w:pPr>
      <w:bookmarkStart w:id="53" w:name="X4e3eb70344da6a931ae15671e47b67ae69cdd36"/>
      <w:r>
        <w:t xml:space="preserve">2.1.3.1.3 Prototype for falling limb passive sampling</w:t>
      </w:r>
      <w:bookmarkEnd w:id="53"/>
    </w:p>
    <w:p>
      <w:pPr>
        <w:pStyle w:val="FirstParagraph"/>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3"/>
      </w:pPr>
      <w:bookmarkStart w:id="54" w:name="Xff9c1916dd8d278b07e9d95ebf125bc565f5754"/>
      <w:r>
        <w:t xml:space="preserve">2.1.4 forWater Coordinated Treatability Analyses Sites</w:t>
      </w:r>
      <w:bookmarkEnd w:id="54"/>
    </w:p>
    <w:p>
      <w:pPr>
        <w:pStyle w:val="FirstParagraph"/>
      </w:pPr>
      <w:r>
        <w:t xml:space="preserve">Four of the synoptic sampling sites were selected to collect source water treatability data in collaboration with researchers in the forWater Network. The sites were:</w:t>
      </w:r>
    </w:p>
    <w:p>
      <w:pPr>
        <w:pStyle w:val="Compact"/>
        <w:numPr>
          <w:numId w:val="1004"/>
          <w:ilvl w:val="0"/>
        </w:numPr>
      </w:pPr>
      <w:r>
        <w:t xml:space="preserve">the Leech River at the future point of diversion,</w:t>
      </w:r>
      <w:r>
        <w:br/>
      </w:r>
    </w:p>
    <w:p>
      <w:pPr>
        <w:pStyle w:val="Compact"/>
        <w:numPr>
          <w:numId w:val="1004"/>
          <w:ilvl w:val="0"/>
        </w:numPr>
      </w:pPr>
      <w:r>
        <w:t xml:space="preserve">Deception Reservoir</w:t>
      </w:r>
    </w:p>
    <w:p>
      <w:pPr>
        <w:pStyle w:val="Compact"/>
        <w:numPr>
          <w:numId w:val="1004"/>
          <w:ilvl w:val="0"/>
        </w:numPr>
      </w:pPr>
      <w:r>
        <w:t xml:space="preserve">Rithet Creek (2nd largest tributary to Sooke Reservoir)</w:t>
      </w:r>
    </w:p>
    <w:p>
      <w:pPr>
        <w:pStyle w:val="Compact"/>
        <w:numPr>
          <w:numId w:val="1004"/>
          <w:ilvl w:val="0"/>
        </w:numPr>
      </w:pPr>
      <w:r>
        <w:t xml:space="preserve">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 (respectively).</w:t>
      </w:r>
    </w:p>
    <w:p>
      <w:pPr>
        <w:pStyle w:val="BodyText"/>
      </w:pPr>
      <w:r>
        <w:t xml:space="preserve"> </w:t>
      </w:r>
    </w:p>
    <w:p>
      <w:pPr>
        <w:pStyle w:val="BodyText"/>
      </w:pPr>
      <w:r>
        <w:t xml:space="preserve">Replicate samples were collected November 12, 2019 and January 18, 2020 and were shipped to the Universities of Alberta and Waterloo for treatability analyses. At the University of Waterloo, samples were analyzed for treatability parameters including: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2"/>
      </w:pPr>
      <w:bookmarkStart w:id="55" w:name="analytical-techniques-data"/>
      <w:r>
        <w:t xml:space="preserve">2.2 Analytical techniques &amp; data</w:t>
      </w:r>
      <w:bookmarkEnd w:id="55"/>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pPr>
        <w:pStyle w:val="Heading3"/>
      </w:pPr>
      <w:bookmarkStart w:id="56" w:name="Xb630206f94eb7a6759972938c273ff8eaba2c81"/>
      <w:r>
        <w:t xml:space="preserve">2.2.1 Quantifying dissolved organic carbon (DOC, as NPOC)</w:t>
      </w:r>
      <w:bookmarkEnd w:id="56"/>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Heading3"/>
      </w:pPr>
      <w:bookmarkStart w:id="57" w:name="Xea9a419b4818086e32a635ac9fa4c094692859d"/>
      <w:r>
        <w:t xml:space="preserve">2.2.2 Qualifying organic matter through spectrophotometry</w:t>
      </w:r>
      <w:bookmarkEnd w:id="57"/>
    </w:p>
    <w:p>
      <w:pPr>
        <w:pStyle w:val="Heading4"/>
      </w:pPr>
      <w:bookmarkStart w:id="58" w:name="proxy-doc"/>
      <w:r>
        <w:t xml:space="preserve">2.2.2.1 Proxy DOC</w:t>
      </w:r>
      <w:bookmarkEnd w:id="58"/>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4"/>
      </w:pPr>
      <w:bookmarkStart w:id="59" w:name="quality-control-note"/>
      <w:r>
        <w:t xml:space="preserve">2.2.2.1.1 Quality control note</w:t>
      </w:r>
      <w:bookmarkEnd w:id="59"/>
    </w:p>
    <w:p>
      <w:pPr>
        <w:pStyle w:val="FirstParagraph"/>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Heading4"/>
      </w:pPr>
      <w:bookmarkStart w:id="60" w:name="suva254"/>
      <w:r>
        <w:t xml:space="preserve">2.2.2.2 SUVA</w:t>
      </w:r>
      <w:r>
        <w:rPr>
          <w:vertAlign w:val="subscript"/>
        </w:rPr>
        <w:t xml:space="preserve">254</w:t>
      </w:r>
      <w:bookmarkEnd w:id="60"/>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4"/>
      </w:pPr>
      <w:bookmarkStart w:id="61" w:name="spectral-indices-of-nom-character"/>
      <w:r>
        <w:t xml:space="preserve">2.2.2.3 spectral indices of NOM character</w:t>
      </w:r>
      <w:bookmarkEnd w:id="61"/>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3"/>
      </w:pPr>
      <w:bookmarkStart w:id="62" w:name="Xcc08ec80943ac2e4b045ef0d627856fbbc0f249"/>
      <w:r>
        <w:t xml:space="preserve">2.2.3 Sampling for Metals &amp; CRD Analytical Results</w:t>
      </w:r>
      <w:bookmarkEnd w:id="62"/>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pPr>
        <w:pStyle w:val="Heading1"/>
      </w:pPr>
      <w:bookmarkStart w:id="63" w:name="data-and-results"/>
      <w:r>
        <w:t xml:space="preserve">Data and Results</w:t>
      </w:r>
      <w:bookmarkEnd w:id="63"/>
    </w:p>
    <w:p>
      <w:pPr>
        <w:pStyle w:val="FirstParagraph"/>
      </w:pPr>
      <w:r>
        <w:t xml:space="preserve">The primary objectives of this project was to characterize the range of hydrochemical dynamics and synchrony during rainfall response among sub-basins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fifteen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at locations across the watershed. DOC concentration trends in stormflow were indicative of whether aqueous DOM was supply-limited or governed by hydrologic forcing. The data collected were used to elucidate spatiotemporal synchrony among sub-catchments.</w:t>
      </w:r>
    </w:p>
    <w:p>
      <w:pPr>
        <w:pStyle w:val="BodyText"/>
      </w:pPr>
      <w:r>
        <w:t xml:space="preserve"> </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four hundred and fifty-five water samples (Table YYY ) were collected and analyzed for DOC concentration and DOM character by high temperature combustion and UV-Vis spectroscopy (respectively), while an additional 42 samples were analyzed at an external laboratory for a suite of total metals.</w:t>
      </w:r>
    </w:p>
    <w:p>
      <w:pPr>
        <w:pStyle w:val="BodyText"/>
      </w:pPr>
      <w:r>
        <w:t xml:space="preserve"> </w:t>
      </w:r>
    </w:p>
    <w:p>
      <w:pPr>
        <w:pStyle w:val="TableCaption"/>
      </w:pPr>
      <w:r>
        <w:t xml:space="preserve">Table 1: Table YYY</w:t>
      </w:r>
    </w:p>
    <w:tbl>
      <w:tblPr>
        <w:tblStyle w:val="Table"/>
        <w:tblW w:type="pct" w:w="0.0"/>
        <w:tblLook w:firstRow="1"/>
        <w:tblCaption w:val="Table 1: Table YYY"/>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70</w:t>
            </w:r>
          </w:p>
        </w:tc>
      </w:tr>
      <w:tr>
        <w:tc>
          <w:p>
            <w:pPr>
              <w:pStyle w:val="Compact"/>
              <w:jc w:val="left"/>
            </w:pPr>
            <w:r>
              <w:t xml:space="preserve">opportunistic grab samples</w:t>
            </w:r>
          </w:p>
        </w:tc>
        <w:tc>
          <w:p>
            <w:pPr>
              <w:pStyle w:val="Compact"/>
              <w:jc w:val="right"/>
            </w:pPr>
            <w:r>
              <w:t xml:space="preserve">13</w:t>
            </w:r>
          </w:p>
        </w:tc>
      </w:tr>
      <w:tr>
        <w:tc>
          <w:p>
            <w:pPr>
              <w:pStyle w:val="Compact"/>
              <w:jc w:val="left"/>
            </w:pPr>
            <w:r>
              <w:t xml:space="preserve">sub-basin synoptic grab samples</w:t>
            </w:r>
          </w:p>
        </w:tc>
        <w:tc>
          <w:p>
            <w:pPr>
              <w:pStyle w:val="Compact"/>
              <w:jc w:val="right"/>
            </w:pPr>
            <w:r>
              <w:t xml:space="preserve">171</w:t>
            </w:r>
          </w:p>
        </w:tc>
      </w:tr>
      <w:tr>
        <w:tc>
          <w:p>
            <w:pPr>
              <w:pStyle w:val="Compact"/>
              <w:jc w:val="left"/>
            </w:pPr>
            <w:r>
              <w:t xml:space="preserve">sub-basin rack samples</w:t>
            </w:r>
          </w:p>
        </w:tc>
        <w:tc>
          <w:p>
            <w:pPr>
              <w:pStyle w:val="Compact"/>
              <w:jc w:val="right"/>
            </w:pPr>
            <w:r>
              <w:t xml:space="preserve">201</w:t>
            </w:r>
          </w:p>
        </w:tc>
      </w:tr>
      <w:tr>
        <w:tc>
          <w:p>
            <w:pPr>
              <w:pStyle w:val="Compact"/>
              <w:jc w:val="left"/>
            </w:pPr>
            <w:r>
              <w:t xml:space="preserve">total</w:t>
            </w:r>
          </w:p>
        </w:tc>
        <w:tc>
          <w:p>
            <w:pPr>
              <w:pStyle w:val="Compact"/>
              <w:jc w:val="right"/>
            </w:pPr>
            <w:r>
              <w:t xml:space="preserve">455</w:t>
            </w:r>
          </w:p>
        </w:tc>
      </w:tr>
    </w:tbl>
    <w:p>
      <w:pPr>
        <w:pStyle w:val="Heading2"/>
      </w:pPr>
      <w:bookmarkStart w:id="64" w:name="hydroclimatic-regime-stage-sampling"/>
      <w:r>
        <w:t xml:space="preserve">Hydroclimatic Regime, Stage &amp; Sampling</w:t>
      </w:r>
      <w:bookmarkEnd w:id="64"/>
    </w:p>
    <w:p>
      <w:pPr>
        <w:pStyle w:val="FirstParagraph"/>
      </w:pPr>
      <w:r>
        <w:t xml:space="preserve">The Capital Regional District provided data from their fire-weather stations within the LWSA. Figure</w:t>
      </w:r>
      <w:r>
        <w:t xml:space="preserve"> </w:t>
      </w:r>
      <w:r>
        <w:rPr>
          <w:i/>
        </w:rPr>
        <w:t xml:space="preserve">CCC</w:t>
      </w:r>
      <w:r>
        <w:t xml:space="preserve"> </w:t>
      </w:r>
      <w:r>
        <w:t xml:space="preserve">shows snow, air temperature and rain during the study period, as well as river stage and sampling points at each of the six subbasins.</w:t>
      </w:r>
    </w:p>
    <w:p>
      <w:pPr>
        <w:pStyle w:val="CaptionedFigure"/>
      </w:pPr>
      <w:r>
        <w:drawing>
          <wp:inline>
            <wp:extent cx="5943600" cy="7691717"/>
            <wp:effectExtent b="0" l="0" r="0" t="0"/>
            <wp:docPr descr="__Figure CCC_Weather in the watershed with river rise and samples at the six sub-basin sites" title="" id="1" name="Picture"/>
            <a:graphic>
              <a:graphicData uri="http://schemas.openxmlformats.org/drawingml/2006/picture">
                <pic:pic>
                  <pic:nvPicPr>
                    <pic:cNvPr descr="R-outputs_UBC-forWater-MSc_HMc/figures/Wx-stage_subbasins_megaplot.png" id="0" name="Picture"/>
                    <pic:cNvPicPr>
                      <a:picLocks noChangeArrowheads="1" noChangeAspect="1"/>
                    </pic:cNvPicPr>
                  </pic:nvPicPr>
                  <pic:blipFill>
                    <a:blip r:embed="rId6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__Figure CCC_</w:t>
      </w:r>
      <w:r>
        <w:rPr>
          <w:i/>
        </w:rPr>
        <w:t xml:space="preserve">Weather in the watershed with river rise and samples at the six sub-basin sites</w:t>
      </w:r>
    </w:p>
    <w:p>
      <w:pPr>
        <w:pStyle w:val="BodyText"/>
      </w:pPr>
      <w:r>
        <w:t xml:space="preserve"> </w:t>
      </w:r>
    </w:p>
    <w:p>
      <w:pPr>
        <w:pStyle w:val="BodyText"/>
      </w:pPr>
      <w:r>
        <w:t xml:space="preserve">The weather data plotted in Figure</w:t>
      </w:r>
      <w:r>
        <w:t xml:space="preserve"> </w:t>
      </w:r>
      <w:r>
        <w:rPr>
          <w:i/>
        </w:rPr>
        <w:t xml:space="preserve">CCC</w:t>
      </w:r>
      <w:r>
        <w:t xml:space="preserve"> </w:t>
      </w:r>
      <w:r>
        <w:t xml:space="preserve">are arithmetic means from two fire-weather stations in the LWSA: Chris Creek (in the headwaters) and Martin’s Gulch (near the mouth/ future point of diversion). Figure NNN shows precipitation and temperature measured at each of these two stations over 2018 and 2019, with this study’s period highlighted. Table</w:t>
      </w:r>
      <w:r>
        <w:t xml:space="preserve"> </w:t>
      </w:r>
      <w:r>
        <w:rPr>
          <w:i/>
        </w:rPr>
        <w:t xml:space="preserve">JJJ</w:t>
      </w:r>
      <w:r>
        <w:t xml:space="preserve"> </w:t>
      </w:r>
      <w:r>
        <w:t xml:space="preserve">summarizes data from each of these two stations by calender year.</w:t>
      </w:r>
    </w:p>
    <w:p>
      <w:pPr>
        <w:pStyle w:val="BodyText"/>
      </w:pPr>
      <w:r>
        <w:drawing>
          <wp:inline>
            <wp:extent cx="3669832" cy="2752374"/>
            <wp:effectExtent b="0" l="0" r="0" t="0"/>
            <wp:docPr descr="__Figure NNN_Weather data from two stations in the Leech River watershed"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42"/>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t xml:space="preserve"> </w:t>
      </w:r>
    </w:p>
    <w:p>
      <w:pPr>
        <w:pStyle w:val="TableCaption"/>
      </w:pPr>
      <w:r>
        <w:t xml:space="preserve">Table 2: Table JJJ</w:t>
      </w:r>
    </w:p>
    <w:tbl>
      <w:tblPr>
        <w:tblStyle w:val="Table"/>
        <w:tblW w:type="pct" w:w="0.0"/>
        <w:tblLook w:firstRow="1"/>
        <w:tblCaption w:val="Table 2: Table JJJ"/>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righ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righ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right"/>
            </w:pPr>
            <w:r>
              <w:t xml:space="preserve">2019</w:t>
            </w:r>
          </w:p>
        </w:tc>
        <w:tc>
          <w:p>
            <w:pPr>
              <w:pStyle w:val="Compact"/>
              <w:jc w:val="left"/>
            </w:pPr>
            <w:r>
              <w:t xml:space="preserve">FWx Chris Creek</w:t>
            </w:r>
          </w:p>
        </w:tc>
        <w:tc>
          <w:p>
            <w:pPr>
              <w:pStyle w:val="Compact"/>
              <w:jc w:val="right"/>
            </w:pPr>
            <w:r>
              <w:t xml:space="preserve">1429.1</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right"/>
            </w:pPr>
            <w:r>
              <w:t xml:space="preserve">2019</w:t>
            </w:r>
          </w:p>
        </w:tc>
        <w:tc>
          <w:p>
            <w:pPr>
              <w:pStyle w:val="Compact"/>
              <w:jc w:val="left"/>
            </w:pPr>
            <w:r>
              <w:t xml:space="preserve">FWx Martins Gulch</w:t>
            </w:r>
          </w:p>
        </w:tc>
        <w:tc>
          <w:p>
            <w:pPr>
              <w:pStyle w:val="Compact"/>
              <w:jc w:val="right"/>
            </w:pPr>
            <w:r>
              <w:t xml:space="preserve">1490.7</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bl>
    <w:p>
      <w:pPr>
        <w:pStyle w:val="BodyText"/>
      </w:pPr>
      <w:r>
        <w:t xml:space="preserve"> </w:t>
      </w:r>
    </w:p>
    <w:p>
      <w:pPr>
        <w:pStyle w:val="BodyText"/>
      </w:pPr>
      <w:r>
        <w:t xml:space="preserve">The arithmetic means for precipitation and air temperature from each of the two weather stations in the LWSA is summarized in Table UUU (where standard deviations represent the difference between the two stations, not the full annual dataset). The station means are plotted in Figure MMM. The mean values were used for analysis including delineating storm events.</w:t>
      </w:r>
    </w:p>
    <w:p>
      <w:pPr>
        <w:pStyle w:val="BodyText"/>
      </w:pPr>
      <w:r>
        <w:t xml:space="preserve"> </w:t>
      </w:r>
    </w:p>
    <w:p>
      <w:pPr>
        <w:pStyle w:val="TableCaption"/>
      </w:pPr>
      <w:r>
        <w:t xml:space="preserve">Table 3: Table UUU</w:t>
      </w:r>
    </w:p>
    <w:tbl>
      <w:tblPr>
        <w:tblStyle w:val="Table"/>
        <w:tblW w:type="pct" w:w="0.0"/>
        <w:tblLook w:firstRow="1"/>
        <w:tblCaption w:val="Table 3: Table UUU"/>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mean max snow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sd temp.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sd TMin. (±°C)</w:t>
            </w:r>
          </w:p>
        </w:tc>
        <w:tc>
          <w:tcPr>
            <w:tcBorders>
              <w:bottom w:val="single"/>
            </w:tcBorders>
            <w:vAlign w:val="bottom"/>
          </w:tcPr>
          <w:p>
            <w:pPr>
              <w:pStyle w:val="Compact"/>
              <w:jc w:val="right"/>
            </w:pPr>
            <w:r>
              <w:t xml:space="preserve">mean min. temp. (±°C)</w:t>
            </w:r>
          </w:p>
        </w:tc>
        <w:tc>
          <w:tcPr>
            <w:tcBorders>
              <w:bottom w:val="single"/>
            </w:tcBorders>
            <w:vAlign w:val="bottom"/>
          </w:tcPr>
          <w:p>
            <w:pPr>
              <w:pStyle w:val="Compact"/>
              <w:jc w:val="right"/>
            </w:pPr>
            <w:r>
              <w:t xml:space="preserve">sd TMax. (±°C)</w:t>
            </w:r>
          </w:p>
        </w:tc>
      </w:tr>
      <w:tr>
        <w:tc>
          <w:p>
            <w:pPr>
              <w:pStyle w:val="Compact"/>
              <w:jc w:val="righ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3.05</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1.7</w:t>
            </w:r>
          </w:p>
        </w:tc>
        <w:tc>
          <w:p>
            <w:pPr>
              <w:pStyle w:val="Compact"/>
              <w:jc w:val="right"/>
            </w:pPr>
            <w:r>
              <w:t xml:space="preserve">33.8</w:t>
            </w:r>
          </w:p>
        </w:tc>
        <w:tc>
          <w:p>
            <w:pPr>
              <w:pStyle w:val="Compact"/>
              <w:jc w:val="right"/>
            </w:pPr>
            <w:r>
              <w:t xml:space="preserve">1.3</w:t>
            </w:r>
          </w:p>
        </w:tc>
      </w:tr>
      <w:tr>
        <w:tc>
          <w:p>
            <w:pPr>
              <w:pStyle w:val="Compact"/>
              <w:jc w:val="right"/>
            </w:pPr>
            <w:r>
              <w:t xml:space="preserve">2019</w:t>
            </w:r>
          </w:p>
        </w:tc>
        <w:tc>
          <w:p>
            <w:pPr>
              <w:pStyle w:val="Compact"/>
              <w:jc w:val="right"/>
            </w:pPr>
            <w:r>
              <w:t xml:space="preserve">1459.9</w:t>
            </w:r>
          </w:p>
        </w:tc>
        <w:tc>
          <w:p>
            <w:pPr>
              <w:pStyle w:val="Compact"/>
              <w:jc w:val="right"/>
            </w:pPr>
            <w:r>
              <w:t xml:space="preserve">43.5</w:t>
            </w:r>
          </w:p>
        </w:tc>
        <w:tc>
          <w:p>
            <w:pPr>
              <w:pStyle w:val="Compact"/>
              <w:jc w:val="right"/>
            </w:pPr>
            <w:r>
              <w:t xml:space="preserve">3.05</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0.7</w:t>
            </w:r>
          </w:p>
        </w:tc>
        <w:tc>
          <w:p>
            <w:pPr>
              <w:pStyle w:val="Compact"/>
              <w:jc w:val="right"/>
            </w:pPr>
            <w:r>
              <w:t xml:space="preserve">31.2</w:t>
            </w:r>
          </w:p>
        </w:tc>
        <w:tc>
          <w:p>
            <w:pPr>
              <w:pStyle w:val="Compact"/>
              <w:jc w:val="right"/>
            </w:pPr>
            <w:r>
              <w:t xml:space="preserve">1.0</w:t>
            </w:r>
          </w:p>
        </w:tc>
      </w:tr>
    </w:tbl>
    <w:p>
      <w:pPr>
        <w:pStyle w:val="BodyText"/>
      </w:pPr>
      <w:r>
        <w:t xml:space="preserve"> </w:t>
      </w:r>
    </w:p>
    <w:p>
      <w:pPr>
        <w:pStyle w:val="BodyText"/>
      </w:pPr>
      <w:r>
        <w:drawing>
          <wp:inline>
            <wp:extent cx="3669832" cy="2752374"/>
            <wp:effectExtent b="0" l="0" r="0" t="0"/>
            <wp:docPr descr="__Figure MMM_Mean weather data across the two stations in the Leech River watershed (with highlighted study period)" title="" id="1" name="Picture"/>
            <a:graphic>
              <a:graphicData uri="http://schemas.openxmlformats.org/drawingml/2006/picture">
                <pic:pic>
                  <pic:nvPicPr>
                    <pic:cNvPr descr="R-outputs_UBC-forWater-MSc_HMc/figures/Wx-means_LWSA.png" id="0" name="Picture"/>
                    <pic:cNvPicPr>
                      <a:picLocks noChangeArrowheads="1" noChangeAspect="1"/>
                    </pic:cNvPicPr>
                  </pic:nvPicPr>
                  <pic:blipFill>
                    <a:blip r:embed="rId66"/>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t xml:space="preserve"> </w:t>
      </w:r>
    </w:p>
    <w:p>
      <w:pPr>
        <w:pStyle w:val="Heading2"/>
      </w:pPr>
      <w:bookmarkStart w:id="67" w:name="you-are-here"/>
      <w:r>
        <w:t xml:space="preserve">——————————————————- you are here :)</w:t>
      </w:r>
      <w:bookmarkEnd w:id="67"/>
    </w:p>
    <w:p>
      <w:pPr>
        <w:pStyle w:val="Heading2"/>
      </w:pPr>
      <w:bookmarkStart w:id="68" w:name="doc-concentrations"/>
      <w:r>
        <w:t xml:space="preserve">DOC concentrations</w:t>
      </w:r>
      <w:bookmarkEnd w:id="68"/>
    </w:p>
    <w:p>
      <w:pPr>
        <w:pStyle w:val="Heading3"/>
      </w:pPr>
      <w:bookmarkStart w:id="69" w:name="spatiotemporal-patterns"/>
      <w:r>
        <w:t xml:space="preserve">Spatiotemporal patterns</w:t>
      </w:r>
      <w:bookmarkEnd w:id="69"/>
    </w:p>
    <w:p>
      <w:pPr>
        <w:pStyle w:val="Compact"/>
        <w:numPr>
          <w:numId w:val="1005"/>
          <w:ilvl w:val="0"/>
        </w:numPr>
      </w:pPr>
      <w:r>
        <w:t xml:space="preserve">synoptic sampling overview (full study period)</w:t>
      </w:r>
    </w:p>
    <w:p>
      <w:pPr>
        <w:pStyle w:val="Compact"/>
        <w:numPr>
          <w:numId w:val="1005"/>
          <w:ilvl w:val="0"/>
        </w:numPr>
      </w:pPr>
      <w:r>
        <w:t xml:space="preserve">higher concentrations in lower order streams</w:t>
      </w:r>
    </w:p>
    <w:p>
      <w:pPr>
        <w:pStyle w:val="Compact"/>
        <w:numPr>
          <w:numId w:val="1005"/>
          <w:ilvl w:val="0"/>
        </w:numPr>
      </w:pPr>
      <w:r>
        <w:t xml:space="preserve">decreasing concentrations over the wet season</w:t>
      </w:r>
    </w:p>
    <w:p>
      <w:pPr>
        <w:pStyle w:val="Compact"/>
        <w:numPr>
          <w:numId w:val="1005"/>
          <w:ilvl w:val="0"/>
        </w:numPr>
      </w:pPr>
      <w:r>
        <w:t xml:space="preserve">what was the variability within low-order streams versus higher-order streams? was there greater variability within each site than between them?</w:t>
      </w:r>
    </w:p>
    <w:p>
      <w:pPr>
        <w:pStyle w:val="TableCaption"/>
      </w:pPr>
      <w:r>
        <w:t xml:space="preserve">Table 4: Summary of DOC concentrations at the sub-basin sites</w:t>
      </w:r>
    </w:p>
    <w:tbl>
      <w:tblPr>
        <w:tblStyle w:val="Table"/>
        <w:tblW w:type="pct" w:w="0.0"/>
        <w:tblLook w:firstRow="1"/>
        <w:tblCaption w:val="Table 4: Summary of DOC concentrations at the sub-bas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w:t>
            </w:r>
          </w:p>
        </w:tc>
        <w:tc>
          <w:p>
            <w:pPr>
              <w:pStyle w:val="Compact"/>
              <w:jc w:val="right"/>
            </w:pPr>
            <w:r>
              <w:t xml:space="preserve">10.0</w:t>
            </w:r>
          </w:p>
        </w:tc>
        <w:tc>
          <w:p>
            <w:pPr>
              <w:pStyle w:val="Compact"/>
              <w:jc w:val="right"/>
            </w:pPr>
            <w:r>
              <w:t xml:space="preserve">3.6</w:t>
            </w:r>
          </w:p>
        </w:tc>
        <w:tc>
          <w:p>
            <w:pPr>
              <w:pStyle w:val="Compact"/>
              <w:jc w:val="right"/>
            </w:pPr>
            <w:r>
              <w:t xml:space="preserve">36</w:t>
            </w:r>
          </w:p>
        </w:tc>
      </w:tr>
      <w:tr>
        <w:tc>
          <w:p>
            <w:pPr>
              <w:pStyle w:val="Compact"/>
              <w:jc w:val="left"/>
            </w:pPr>
            <w:r>
              <w:t xml:space="preserve">ChrisCrk</w:t>
            </w:r>
          </w:p>
        </w:tc>
        <w:tc>
          <w:p>
            <w:pPr>
              <w:pStyle w:val="Compact"/>
              <w:jc w:val="right"/>
            </w:pPr>
            <w:r>
              <w:t xml:space="preserve">4.9</w:t>
            </w:r>
          </w:p>
        </w:tc>
        <w:tc>
          <w:p>
            <w:pPr>
              <w:pStyle w:val="Compact"/>
              <w:jc w:val="right"/>
            </w:pPr>
            <w:r>
              <w:t xml:space="preserve">2.0</w:t>
            </w:r>
          </w:p>
        </w:tc>
        <w:tc>
          <w:p>
            <w:pPr>
              <w:pStyle w:val="Compact"/>
              <w:jc w:val="right"/>
            </w:pPr>
            <w:r>
              <w:t xml:space="preserve">41</w:t>
            </w:r>
          </w:p>
        </w:tc>
      </w:tr>
      <w:tr>
        <w:tc>
          <w:p>
            <w:pPr>
              <w:pStyle w:val="Compact"/>
              <w:jc w:val="left"/>
            </w:pPr>
            <w:r>
              <w:t xml:space="preserve">LeechHead</w:t>
            </w:r>
          </w:p>
        </w:tc>
        <w:tc>
          <w:p>
            <w:pPr>
              <w:pStyle w:val="Compact"/>
              <w:jc w:val="right"/>
            </w:pPr>
            <w:r>
              <w:t xml:space="preserve">7.1</w:t>
            </w:r>
          </w:p>
        </w:tc>
        <w:tc>
          <w:p>
            <w:pPr>
              <w:pStyle w:val="Compact"/>
              <w:jc w:val="right"/>
            </w:pPr>
            <w:r>
              <w:t xml:space="preserve">1.7</w:t>
            </w:r>
          </w:p>
        </w:tc>
        <w:tc>
          <w:p>
            <w:pPr>
              <w:pStyle w:val="Compact"/>
              <w:jc w:val="right"/>
            </w:pPr>
            <w:r>
              <w:t xml:space="preserve">24</w:t>
            </w:r>
          </w:p>
        </w:tc>
      </w:tr>
      <w:tr>
        <w:tc>
          <w:p>
            <w:pPr>
              <w:pStyle w:val="Compact"/>
              <w:jc w:val="left"/>
            </w:pPr>
            <w:r>
              <w:t xml:space="preserve">CraggCrk</w:t>
            </w:r>
          </w:p>
        </w:tc>
        <w:tc>
          <w:p>
            <w:pPr>
              <w:pStyle w:val="Compact"/>
              <w:jc w:val="right"/>
            </w:pPr>
            <w:r>
              <w:t xml:space="preserve">4.7</w:t>
            </w:r>
          </w:p>
        </w:tc>
        <w:tc>
          <w:p>
            <w:pPr>
              <w:pStyle w:val="Compact"/>
              <w:jc w:val="right"/>
            </w:pPr>
            <w:r>
              <w:t xml:space="preserve">1.5</w:t>
            </w:r>
          </w:p>
        </w:tc>
        <w:tc>
          <w:p>
            <w:pPr>
              <w:pStyle w:val="Compact"/>
              <w:jc w:val="right"/>
            </w:pPr>
            <w:r>
              <w:t xml:space="preserve">32</w:t>
            </w:r>
          </w:p>
        </w:tc>
      </w:tr>
      <w:tr>
        <w:tc>
          <w:p>
            <w:pPr>
              <w:pStyle w:val="Compact"/>
              <w:jc w:val="left"/>
            </w:pPr>
            <w:r>
              <w:t xml:space="preserve">WestLeech</w:t>
            </w:r>
          </w:p>
        </w:tc>
        <w:tc>
          <w:p>
            <w:pPr>
              <w:pStyle w:val="Compact"/>
              <w:jc w:val="right"/>
            </w:pPr>
            <w:r>
              <w:t xml:space="preserve">5.6</w:t>
            </w:r>
          </w:p>
        </w:tc>
        <w:tc>
          <w:p>
            <w:pPr>
              <w:pStyle w:val="Compact"/>
              <w:jc w:val="right"/>
            </w:pPr>
            <w:r>
              <w:t xml:space="preserve">2.3</w:t>
            </w:r>
          </w:p>
        </w:tc>
        <w:tc>
          <w:p>
            <w:pPr>
              <w:pStyle w:val="Compact"/>
              <w:jc w:val="right"/>
            </w:pPr>
            <w:r>
              <w:t xml:space="preserve">41</w:t>
            </w:r>
          </w:p>
        </w:tc>
      </w:tr>
      <w:tr>
        <w:tc>
          <w:p>
            <w:pPr>
              <w:pStyle w:val="Compact"/>
              <w:jc w:val="left"/>
            </w:pPr>
            <w:r>
              <w:t xml:space="preserve">Tunnel</w:t>
            </w:r>
          </w:p>
        </w:tc>
        <w:tc>
          <w:p>
            <w:pPr>
              <w:pStyle w:val="Compact"/>
              <w:jc w:val="right"/>
            </w:pPr>
            <w:r>
              <w:t xml:space="preserve">4.8</w:t>
            </w:r>
          </w:p>
        </w:tc>
        <w:tc>
          <w:p>
            <w:pPr>
              <w:pStyle w:val="Compact"/>
              <w:jc w:val="right"/>
            </w:pPr>
            <w:r>
              <w:t xml:space="preserve">1.7</w:t>
            </w:r>
          </w:p>
        </w:tc>
        <w:tc>
          <w:p>
            <w:pPr>
              <w:pStyle w:val="Compact"/>
              <w:jc w:val="right"/>
            </w:pPr>
            <w:r>
              <w:t xml:space="preserve">36</w:t>
            </w:r>
          </w:p>
        </w:tc>
      </w:tr>
    </w:tbl>
    <w:p>
      <w:pPr>
        <w:pStyle w:val="Heading5"/>
      </w:pPr>
      <w:bookmarkStart w:id="70" w:name="grab-vs.-rack"/>
      <w:r>
        <w:t xml:space="preserve">Grab vs. Rack</w:t>
      </w:r>
      <w:bookmarkEnd w:id="70"/>
    </w:p>
    <w:p>
      <w:pPr>
        <w:pStyle w:val="FirstParagraph"/>
      </w:pPr>
      <w:r>
        <w:drawing>
          <wp:inline>
            <wp:extent cx="5943600" cy="3668888"/>
            <wp:effectExtent b="0" l="0" r="0" t="0"/>
            <wp:docPr descr="__Figure_Concentrations of DOC by site and sample type" title="" id="1" name="Picture"/>
            <a:graphic>
              <a:graphicData uri="http://schemas.openxmlformats.org/drawingml/2006/picture">
                <pic:pic>
                  <pic:nvPicPr>
                    <pic:cNvPr descr="R-outputs_UBC-forWater-MSc_HMc/figures/DOC-subbasin_GvsR_boxplot.png" id="0" name="Picture"/>
                    <pic:cNvPicPr>
                      <a:picLocks noChangeArrowheads="1" noChangeAspect="1"/>
                    </pic:cNvPicPr>
                  </pic:nvPicPr>
                  <pic:blipFill>
                    <a:blip r:embed="rId71"/>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r>
        <w:t xml:space="preserve"> </w:t>
      </w:r>
    </w:p>
    <w:p>
      <w:pPr>
        <w:pStyle w:val="TableCaption"/>
      </w:pPr>
      <w:r>
        <w:t xml:space="preserve">(#tab:subbasin_GvsR_DOC-table)Summary of DOC concentrations by sample type at the sub-basin sites</w:t>
      </w:r>
    </w:p>
    <w:tbl>
      <w:tblPr>
        <w:tblStyle w:val="Table"/>
        <w:tblW w:type="pct" w:w="0.0"/>
        <w:tblLook w:firstRow="1"/>
        <w:tblCaption w:val="(#tab:subbasin_GvsR_DOC-table)Summary of DOC concentrations by sample type at the sub-bas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w:t>
            </w:r>
          </w:p>
        </w:tc>
        <w:tc>
          <w:p>
            <w:pPr>
              <w:pStyle w:val="Compact"/>
              <w:jc w:val="left"/>
            </w:pPr>
            <w:r>
              <w:t xml:space="preserve">Grab</w:t>
            </w:r>
          </w:p>
        </w:tc>
        <w:tc>
          <w:p>
            <w:pPr>
              <w:pStyle w:val="Compact"/>
              <w:jc w:val="right"/>
            </w:pPr>
            <w:r>
              <w:t xml:space="preserve">9.9</w:t>
            </w:r>
          </w:p>
        </w:tc>
        <w:tc>
          <w:p>
            <w:pPr>
              <w:pStyle w:val="Compact"/>
              <w:jc w:val="right"/>
            </w:pPr>
            <w:r>
              <w:t xml:space="preserve">3.0</w:t>
            </w:r>
          </w:p>
        </w:tc>
        <w:tc>
          <w:p>
            <w:pPr>
              <w:pStyle w:val="Compact"/>
              <w:jc w:val="right"/>
            </w:pPr>
            <w:r>
              <w:t xml:space="preserve">30</w:t>
            </w:r>
          </w:p>
        </w:tc>
      </w:tr>
      <w:tr>
        <w:tc>
          <w:p>
            <w:pPr>
              <w:pStyle w:val="Compact"/>
              <w:jc w:val="left"/>
            </w:pPr>
            <w:r>
              <w:t xml:space="preserve">Weeks</w:t>
            </w:r>
          </w:p>
        </w:tc>
        <w:tc>
          <w:p>
            <w:pPr>
              <w:pStyle w:val="Compact"/>
              <w:jc w:val="left"/>
            </w:pPr>
            <w:r>
              <w:t xml:space="preserve">Rack</w:t>
            </w:r>
          </w:p>
        </w:tc>
        <w:tc>
          <w:p>
            <w:pPr>
              <w:pStyle w:val="Compact"/>
              <w:jc w:val="right"/>
            </w:pPr>
            <w:r>
              <w:t xml:space="preserve">10.1</w:t>
            </w:r>
          </w:p>
        </w:tc>
        <w:tc>
          <w:p>
            <w:pPr>
              <w:pStyle w:val="Compact"/>
              <w:jc w:val="right"/>
            </w:pPr>
            <w:r>
              <w:t xml:space="preserve">4.0</w:t>
            </w:r>
          </w:p>
        </w:tc>
        <w:tc>
          <w:p>
            <w:pPr>
              <w:pStyle w:val="Compact"/>
              <w:jc w:val="right"/>
            </w:pPr>
            <w:r>
              <w:t xml:space="preserve">40</w:t>
            </w:r>
          </w:p>
        </w:tc>
      </w:tr>
      <w:tr>
        <w:tc>
          <w:p>
            <w:pPr>
              <w:pStyle w:val="Compact"/>
              <w:jc w:val="left"/>
            </w:pPr>
            <w:r>
              <w:t xml:space="preserve">ChrisCrk</w:t>
            </w:r>
          </w:p>
        </w:tc>
        <w:tc>
          <w:p>
            <w:pPr>
              <w:pStyle w:val="Compact"/>
              <w:jc w:val="left"/>
            </w:pPr>
            <w:r>
              <w:t xml:space="preserve">Grab</w:t>
            </w:r>
          </w:p>
        </w:tc>
        <w:tc>
          <w:p>
            <w:pPr>
              <w:pStyle w:val="Compact"/>
              <w:jc w:val="right"/>
            </w:pPr>
            <w:r>
              <w:t xml:space="preserve">4.3</w:t>
            </w:r>
          </w:p>
        </w:tc>
        <w:tc>
          <w:p>
            <w:pPr>
              <w:pStyle w:val="Compact"/>
              <w:jc w:val="right"/>
            </w:pPr>
            <w:r>
              <w:t xml:space="preserve">2.2</w:t>
            </w:r>
          </w:p>
        </w:tc>
        <w:tc>
          <w:p>
            <w:pPr>
              <w:pStyle w:val="Compact"/>
              <w:jc w:val="right"/>
            </w:pPr>
            <w:r>
              <w:t xml:space="preserve">51</w:t>
            </w:r>
          </w:p>
        </w:tc>
      </w:tr>
      <w:tr>
        <w:tc>
          <w:p>
            <w:pPr>
              <w:pStyle w:val="Compact"/>
              <w:jc w:val="left"/>
            </w:pPr>
            <w:r>
              <w:t xml:space="preserve">ChrisCrk</w:t>
            </w:r>
          </w:p>
        </w:tc>
        <w:tc>
          <w:p>
            <w:pPr>
              <w:pStyle w:val="Compact"/>
              <w:jc w:val="left"/>
            </w:pPr>
            <w:r>
              <w:t xml:space="preserve">Rack</w:t>
            </w:r>
          </w:p>
        </w:tc>
        <w:tc>
          <w:p>
            <w:pPr>
              <w:pStyle w:val="Compact"/>
              <w:jc w:val="right"/>
            </w:pPr>
            <w:r>
              <w:t xml:space="preserve">5.3</w:t>
            </w:r>
          </w:p>
        </w:tc>
        <w:tc>
          <w:p>
            <w:pPr>
              <w:pStyle w:val="Compact"/>
              <w:jc w:val="right"/>
            </w:pPr>
            <w:r>
              <w:t xml:space="preserve">1.8</w:t>
            </w:r>
          </w:p>
        </w:tc>
        <w:tc>
          <w:p>
            <w:pPr>
              <w:pStyle w:val="Compact"/>
              <w:jc w:val="right"/>
            </w:pPr>
            <w:r>
              <w:t xml:space="preserve">33</w:t>
            </w:r>
          </w:p>
        </w:tc>
      </w:tr>
      <w:tr>
        <w:tc>
          <w:p>
            <w:pPr>
              <w:pStyle w:val="Compact"/>
              <w:jc w:val="left"/>
            </w:pPr>
            <w:r>
              <w:t xml:space="preserve">LeechHead</w:t>
            </w:r>
          </w:p>
        </w:tc>
        <w:tc>
          <w:p>
            <w:pPr>
              <w:pStyle w:val="Compact"/>
              <w:jc w:val="left"/>
            </w:pPr>
            <w:r>
              <w:t xml:space="preserve">Grab</w:t>
            </w:r>
          </w:p>
        </w:tc>
        <w:tc>
          <w:p>
            <w:pPr>
              <w:pStyle w:val="Compact"/>
              <w:jc w:val="right"/>
            </w:pPr>
            <w:r>
              <w:t xml:space="preserve">6.8</w:t>
            </w:r>
          </w:p>
        </w:tc>
        <w:tc>
          <w:p>
            <w:pPr>
              <w:pStyle w:val="Compact"/>
              <w:jc w:val="right"/>
            </w:pPr>
            <w:r>
              <w:t xml:space="preserve">1.6</w:t>
            </w:r>
          </w:p>
        </w:tc>
        <w:tc>
          <w:p>
            <w:pPr>
              <w:pStyle w:val="Compact"/>
              <w:jc w:val="right"/>
            </w:pPr>
            <w:r>
              <w:t xml:space="preserve">24</w:t>
            </w:r>
          </w:p>
        </w:tc>
      </w:tr>
      <w:tr>
        <w:tc>
          <w:p>
            <w:pPr>
              <w:pStyle w:val="Compact"/>
              <w:jc w:val="left"/>
            </w:pPr>
            <w:r>
              <w:t xml:space="preserve">LeechHead</w:t>
            </w:r>
          </w:p>
        </w:tc>
        <w:tc>
          <w:p>
            <w:pPr>
              <w:pStyle w:val="Compact"/>
              <w:jc w:val="left"/>
            </w:pPr>
            <w:r>
              <w:t xml:space="preserve">Rack</w:t>
            </w:r>
          </w:p>
        </w:tc>
        <w:tc>
          <w:p>
            <w:pPr>
              <w:pStyle w:val="Compact"/>
              <w:jc w:val="right"/>
            </w:pPr>
            <w:r>
              <w:t xml:space="preserve">7.3</w:t>
            </w:r>
          </w:p>
        </w:tc>
        <w:tc>
          <w:p>
            <w:pPr>
              <w:pStyle w:val="Compact"/>
              <w:jc w:val="right"/>
            </w:pPr>
            <w:r>
              <w:t xml:space="preserve">1.7</w:t>
            </w:r>
          </w:p>
        </w:tc>
        <w:tc>
          <w:p>
            <w:pPr>
              <w:pStyle w:val="Compact"/>
              <w:jc w:val="right"/>
            </w:pPr>
            <w:r>
              <w:t xml:space="preserve">24</w:t>
            </w:r>
          </w:p>
        </w:tc>
      </w:tr>
      <w:tr>
        <w:tc>
          <w:p>
            <w:pPr>
              <w:pStyle w:val="Compact"/>
              <w:jc w:val="left"/>
            </w:pPr>
            <w:r>
              <w:t xml:space="preserve">CraggCrk</w:t>
            </w:r>
          </w:p>
        </w:tc>
        <w:tc>
          <w:p>
            <w:pPr>
              <w:pStyle w:val="Compact"/>
              <w:jc w:val="left"/>
            </w:pPr>
            <w:r>
              <w:t xml:space="preserve">Grab</w:t>
            </w:r>
          </w:p>
        </w:tc>
        <w:tc>
          <w:p>
            <w:pPr>
              <w:pStyle w:val="Compact"/>
              <w:jc w:val="right"/>
            </w:pPr>
            <w:r>
              <w:t xml:space="preserve">4.1</w:t>
            </w:r>
          </w:p>
        </w:tc>
        <w:tc>
          <w:p>
            <w:pPr>
              <w:pStyle w:val="Compact"/>
              <w:jc w:val="right"/>
            </w:pPr>
            <w:r>
              <w:t xml:space="preserve">1.2</w:t>
            </w:r>
          </w:p>
        </w:tc>
        <w:tc>
          <w:p>
            <w:pPr>
              <w:pStyle w:val="Compact"/>
              <w:jc w:val="right"/>
            </w:pPr>
            <w:r>
              <w:t xml:space="preserve">30</w:t>
            </w:r>
          </w:p>
        </w:tc>
      </w:tr>
      <w:tr>
        <w:tc>
          <w:p>
            <w:pPr>
              <w:pStyle w:val="Compact"/>
              <w:jc w:val="left"/>
            </w:pPr>
            <w:r>
              <w:t xml:space="preserve">CraggCrk</w:t>
            </w:r>
          </w:p>
        </w:tc>
        <w:tc>
          <w:p>
            <w:pPr>
              <w:pStyle w:val="Compact"/>
              <w:jc w:val="left"/>
            </w:pPr>
            <w:r>
              <w:t xml:space="preserve">Rack</w:t>
            </w:r>
          </w:p>
        </w:tc>
        <w:tc>
          <w:p>
            <w:pPr>
              <w:pStyle w:val="Compact"/>
              <w:jc w:val="right"/>
            </w:pPr>
            <w:r>
              <w:t xml:space="preserve">5.2</w:t>
            </w:r>
          </w:p>
        </w:tc>
        <w:tc>
          <w:p>
            <w:pPr>
              <w:pStyle w:val="Compact"/>
              <w:jc w:val="right"/>
            </w:pPr>
            <w:r>
              <w:t xml:space="preserve">1.5</w:t>
            </w:r>
          </w:p>
        </w:tc>
        <w:tc>
          <w:p>
            <w:pPr>
              <w:pStyle w:val="Compact"/>
              <w:jc w:val="right"/>
            </w:pPr>
            <w:r>
              <w:t xml:space="preserve">29</w:t>
            </w:r>
          </w:p>
        </w:tc>
      </w:tr>
      <w:tr>
        <w:tc>
          <w:p>
            <w:pPr>
              <w:pStyle w:val="Compact"/>
              <w:jc w:val="left"/>
            </w:pPr>
            <w:r>
              <w:t xml:space="preserve">WestLeech</w:t>
            </w:r>
          </w:p>
        </w:tc>
        <w:tc>
          <w:p>
            <w:pPr>
              <w:pStyle w:val="Compact"/>
              <w:jc w:val="left"/>
            </w:pPr>
            <w:r>
              <w:t xml:space="preserve">Grab</w:t>
            </w:r>
          </w:p>
        </w:tc>
        <w:tc>
          <w:p>
            <w:pPr>
              <w:pStyle w:val="Compact"/>
              <w:jc w:val="right"/>
            </w:pPr>
            <w:r>
              <w:t xml:space="preserve">4.3</w:t>
            </w:r>
          </w:p>
        </w:tc>
        <w:tc>
          <w:p>
            <w:pPr>
              <w:pStyle w:val="Compact"/>
              <w:jc w:val="right"/>
            </w:pPr>
            <w:r>
              <w:t xml:space="preserve">1.7</w:t>
            </w:r>
          </w:p>
        </w:tc>
        <w:tc>
          <w:p>
            <w:pPr>
              <w:pStyle w:val="Compact"/>
              <w:jc w:val="right"/>
            </w:pPr>
            <w:r>
              <w:t xml:space="preserve">39</w:t>
            </w:r>
          </w:p>
        </w:tc>
      </w:tr>
      <w:tr>
        <w:tc>
          <w:p>
            <w:pPr>
              <w:pStyle w:val="Compact"/>
              <w:jc w:val="left"/>
            </w:pPr>
            <w:r>
              <w:t xml:space="preserve">WestLeech</w:t>
            </w:r>
          </w:p>
        </w:tc>
        <w:tc>
          <w:p>
            <w:pPr>
              <w:pStyle w:val="Compact"/>
              <w:jc w:val="left"/>
            </w:pPr>
            <w:r>
              <w:t xml:space="preserve">Rack</w:t>
            </w:r>
          </w:p>
        </w:tc>
        <w:tc>
          <w:p>
            <w:pPr>
              <w:pStyle w:val="Compact"/>
              <w:jc w:val="right"/>
            </w:pPr>
            <w:r>
              <w:t xml:space="preserve">6.3</w:t>
            </w:r>
          </w:p>
        </w:tc>
        <w:tc>
          <w:p>
            <w:pPr>
              <w:pStyle w:val="Compact"/>
              <w:jc w:val="right"/>
            </w:pPr>
            <w:r>
              <w:t xml:space="preserve">2.2</w:t>
            </w:r>
          </w:p>
        </w:tc>
        <w:tc>
          <w:p>
            <w:pPr>
              <w:pStyle w:val="Compact"/>
              <w:jc w:val="right"/>
            </w:pPr>
            <w:r>
              <w:t xml:space="preserve">36</w:t>
            </w:r>
          </w:p>
        </w:tc>
      </w:tr>
      <w:tr>
        <w:tc>
          <w:p>
            <w:pPr>
              <w:pStyle w:val="Compact"/>
              <w:jc w:val="left"/>
            </w:pPr>
            <w:r>
              <w:t xml:space="preserve">Tunnel</w:t>
            </w:r>
          </w:p>
        </w:tc>
        <w:tc>
          <w:p>
            <w:pPr>
              <w:pStyle w:val="Compact"/>
              <w:jc w:val="left"/>
            </w:pPr>
            <w:r>
              <w:t xml:space="preserve">Grab</w:t>
            </w:r>
          </w:p>
        </w:tc>
        <w:tc>
          <w:p>
            <w:pPr>
              <w:pStyle w:val="Compact"/>
              <w:jc w:val="right"/>
            </w:pPr>
            <w:r>
              <w:t xml:space="preserve">4.3</w:t>
            </w:r>
          </w:p>
        </w:tc>
        <w:tc>
          <w:p>
            <w:pPr>
              <w:pStyle w:val="Compact"/>
              <w:jc w:val="right"/>
            </w:pPr>
            <w:r>
              <w:t xml:space="preserve">1.7</w:t>
            </w:r>
          </w:p>
        </w:tc>
        <w:tc>
          <w:p>
            <w:pPr>
              <w:pStyle w:val="Compact"/>
              <w:jc w:val="right"/>
            </w:pPr>
            <w:r>
              <w:t xml:space="preserve">40</w:t>
            </w:r>
          </w:p>
        </w:tc>
      </w:tr>
      <w:tr>
        <w:tc>
          <w:p>
            <w:pPr>
              <w:pStyle w:val="Compact"/>
              <w:jc w:val="left"/>
            </w:pPr>
            <w:r>
              <w:t xml:space="preserve">Tunnel</w:t>
            </w:r>
          </w:p>
        </w:tc>
        <w:tc>
          <w:p>
            <w:pPr>
              <w:pStyle w:val="Compact"/>
              <w:jc w:val="left"/>
            </w:pPr>
            <w:r>
              <w:t xml:space="preserve">Rack</w:t>
            </w:r>
          </w:p>
        </w:tc>
        <w:tc>
          <w:p>
            <w:pPr>
              <w:pStyle w:val="Compact"/>
              <w:jc w:val="right"/>
            </w:pPr>
            <w:r>
              <w:t xml:space="preserve">5.4</w:t>
            </w:r>
          </w:p>
        </w:tc>
        <w:tc>
          <w:p>
            <w:pPr>
              <w:pStyle w:val="Compact"/>
              <w:jc w:val="right"/>
            </w:pPr>
            <w:r>
              <w:t xml:space="preserve">1.6</w:t>
            </w:r>
          </w:p>
        </w:tc>
        <w:tc>
          <w:p>
            <w:pPr>
              <w:pStyle w:val="Compact"/>
              <w:jc w:val="right"/>
            </w:pPr>
            <w:r>
              <w:t xml:space="preserve">29</w:t>
            </w:r>
          </w:p>
        </w:tc>
      </w:tr>
    </w:tbl>
    <w:p>
      <w:pPr>
        <w:pStyle w:val="TableCaption"/>
      </w:pPr>
      <w:r>
        <w:t xml:space="preserve">(#tab:synoptic-grabs_DOC-table)Summary of synoptic grab sample DOC concentrations</w:t>
      </w:r>
    </w:p>
    <w:tbl>
      <w:tblPr>
        <w:tblStyle w:val="Table"/>
        <w:tblW w:type="pct" w:w="0.0"/>
        <w:tblLook w:firstRow="1"/>
        <w:tblCaption w:val="(#tab:synoptic-grabs_DOC-table)Summary of synoptic grab sample DOC concentr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right"/>
            </w:pPr>
            <w:r>
              <w:t xml:space="preserve">29</w:t>
            </w:r>
          </w:p>
        </w:tc>
        <w:tc>
          <w:p>
            <w:pPr>
              <w:pStyle w:val="Compact"/>
              <w:jc w:val="right"/>
            </w:pPr>
            <w:r>
              <w:t xml:space="preserve">9.6</w:t>
            </w:r>
          </w:p>
        </w:tc>
        <w:tc>
          <w:p>
            <w:pPr>
              <w:pStyle w:val="Compact"/>
              <w:jc w:val="right"/>
            </w:pPr>
            <w:r>
              <w:t xml:space="preserve">3.2</w:t>
            </w:r>
          </w:p>
        </w:tc>
        <w:tc>
          <w:p>
            <w:pPr>
              <w:pStyle w:val="Compact"/>
              <w:jc w:val="right"/>
            </w:pPr>
            <w:r>
              <w:t xml:space="preserve">3.3</w:t>
            </w:r>
          </w:p>
        </w:tc>
        <w:tc>
          <w:p>
            <w:pPr>
              <w:pStyle w:val="Compact"/>
              <w:jc w:val="right"/>
            </w:pPr>
            <w:r>
              <w:t xml:space="preserve">9.7</w:t>
            </w:r>
          </w:p>
        </w:tc>
        <w:tc>
          <w:p>
            <w:pPr>
              <w:pStyle w:val="Compact"/>
              <w:jc w:val="right"/>
            </w:pPr>
            <w:r>
              <w:t xml:space="preserve">18.7</w:t>
            </w:r>
          </w:p>
        </w:tc>
      </w:tr>
      <w:tr>
        <w:tc>
          <w:p>
            <w:pPr>
              <w:pStyle w:val="Compact"/>
              <w:jc w:val="left"/>
            </w:pPr>
            <w:r>
              <w:t xml:space="preserve">ChrisCrk</w:t>
            </w:r>
          </w:p>
        </w:tc>
        <w:tc>
          <w:p>
            <w:pPr>
              <w:pStyle w:val="Compact"/>
              <w:jc w:val="right"/>
            </w:pPr>
            <w:r>
              <w:t xml:space="preserve">24</w:t>
            </w:r>
          </w:p>
        </w:tc>
        <w:tc>
          <w:p>
            <w:pPr>
              <w:pStyle w:val="Compact"/>
              <w:jc w:val="right"/>
            </w:pPr>
            <w:r>
              <w:t xml:space="preserve">4.2</w:t>
            </w:r>
          </w:p>
        </w:tc>
        <w:tc>
          <w:p>
            <w:pPr>
              <w:pStyle w:val="Compact"/>
              <w:jc w:val="right"/>
            </w:pPr>
            <w:r>
              <w:t xml:space="preserve">2.1</w:t>
            </w:r>
          </w:p>
        </w:tc>
        <w:tc>
          <w:p>
            <w:pPr>
              <w:pStyle w:val="Compact"/>
              <w:jc w:val="right"/>
            </w:pPr>
            <w:r>
              <w:t xml:space="preserve">1.8</w:t>
            </w:r>
          </w:p>
        </w:tc>
        <w:tc>
          <w:p>
            <w:pPr>
              <w:pStyle w:val="Compact"/>
              <w:jc w:val="right"/>
            </w:pPr>
            <w:r>
              <w:t xml:space="preserve">3.4</w:t>
            </w:r>
          </w:p>
        </w:tc>
        <w:tc>
          <w:p>
            <w:pPr>
              <w:pStyle w:val="Compact"/>
              <w:jc w:val="right"/>
            </w:pPr>
            <w:r>
              <w:t xml:space="preserve">9.0</w:t>
            </w:r>
          </w:p>
        </w:tc>
      </w:tr>
      <w:tr>
        <w:tc>
          <w:p>
            <w:pPr>
              <w:pStyle w:val="Compact"/>
              <w:jc w:val="left"/>
            </w:pPr>
            <w:r>
              <w:t xml:space="preserve">LeechHead</w:t>
            </w:r>
          </w:p>
        </w:tc>
        <w:tc>
          <w:p>
            <w:pPr>
              <w:pStyle w:val="Compact"/>
              <w:jc w:val="right"/>
            </w:pPr>
            <w:r>
              <w:t xml:space="preserve">25</w:t>
            </w:r>
          </w:p>
        </w:tc>
        <w:tc>
          <w:p>
            <w:pPr>
              <w:pStyle w:val="Compact"/>
              <w:jc w:val="right"/>
            </w:pPr>
            <w:r>
              <w:t xml:space="preserve">6.7</w:t>
            </w:r>
          </w:p>
        </w:tc>
        <w:tc>
          <w:p>
            <w:pPr>
              <w:pStyle w:val="Compact"/>
              <w:jc w:val="right"/>
            </w:pPr>
            <w:r>
              <w:t xml:space="preserve">1.6</w:t>
            </w:r>
          </w:p>
        </w:tc>
        <w:tc>
          <w:p>
            <w:pPr>
              <w:pStyle w:val="Compact"/>
              <w:jc w:val="right"/>
            </w:pPr>
            <w:r>
              <w:t xml:space="preserve">4.0</w:t>
            </w:r>
          </w:p>
        </w:tc>
        <w:tc>
          <w:p>
            <w:pPr>
              <w:pStyle w:val="Compact"/>
              <w:jc w:val="right"/>
            </w:pPr>
            <w:r>
              <w:t xml:space="preserve">6.5</w:t>
            </w:r>
          </w:p>
        </w:tc>
        <w:tc>
          <w:p>
            <w:pPr>
              <w:pStyle w:val="Compact"/>
              <w:jc w:val="right"/>
            </w:pPr>
            <w:r>
              <w:t xml:space="preserve">11.6</w:t>
            </w:r>
          </w:p>
        </w:tc>
      </w:tr>
      <w:tr>
        <w:tc>
          <w:p>
            <w:pPr>
              <w:pStyle w:val="Compact"/>
              <w:jc w:val="left"/>
            </w:pPr>
            <w:r>
              <w:t xml:space="preserve">CraggCrk</w:t>
            </w:r>
          </w:p>
        </w:tc>
        <w:tc>
          <w:p>
            <w:pPr>
              <w:pStyle w:val="Compact"/>
              <w:jc w:val="right"/>
            </w:pPr>
            <w:r>
              <w:t xml:space="preserve">37</w:t>
            </w:r>
          </w:p>
        </w:tc>
        <w:tc>
          <w:p>
            <w:pPr>
              <w:pStyle w:val="Compact"/>
              <w:jc w:val="right"/>
            </w:pPr>
            <w:r>
              <w:t xml:space="preserve">4.1</w:t>
            </w:r>
          </w:p>
        </w:tc>
        <w:tc>
          <w:p>
            <w:pPr>
              <w:pStyle w:val="Compact"/>
              <w:jc w:val="right"/>
            </w:pPr>
            <w:r>
              <w:t xml:space="preserve">1.2</w:t>
            </w:r>
          </w:p>
        </w:tc>
        <w:tc>
          <w:p>
            <w:pPr>
              <w:pStyle w:val="Compact"/>
              <w:jc w:val="right"/>
            </w:pPr>
            <w:r>
              <w:t xml:space="preserve">1.8</w:t>
            </w:r>
          </w:p>
        </w:tc>
        <w:tc>
          <w:p>
            <w:pPr>
              <w:pStyle w:val="Compact"/>
              <w:jc w:val="right"/>
            </w:pPr>
            <w:r>
              <w:t xml:space="preserve">3.8</w:t>
            </w:r>
          </w:p>
        </w:tc>
        <w:tc>
          <w:p>
            <w:pPr>
              <w:pStyle w:val="Compact"/>
              <w:jc w:val="right"/>
            </w:pPr>
            <w:r>
              <w:t xml:space="preserve">7.5</w:t>
            </w:r>
          </w:p>
        </w:tc>
      </w:tr>
      <w:tr>
        <w:tc>
          <w:p>
            <w:pPr>
              <w:pStyle w:val="Compact"/>
              <w:jc w:val="left"/>
            </w:pPr>
            <w:r>
              <w:t xml:space="preserve">WestLeech</w:t>
            </w:r>
          </w:p>
        </w:tc>
        <w:tc>
          <w:p>
            <w:pPr>
              <w:pStyle w:val="Compact"/>
              <w:jc w:val="right"/>
            </w:pPr>
            <w:r>
              <w:t xml:space="preserve">27</w:t>
            </w:r>
          </w:p>
        </w:tc>
        <w:tc>
          <w:p>
            <w:pPr>
              <w:pStyle w:val="Compact"/>
              <w:jc w:val="right"/>
            </w:pPr>
            <w:r>
              <w:t xml:space="preserve">4.3</w:t>
            </w:r>
          </w:p>
        </w:tc>
        <w:tc>
          <w:p>
            <w:pPr>
              <w:pStyle w:val="Compact"/>
              <w:jc w:val="right"/>
            </w:pPr>
            <w:r>
              <w:t xml:space="preserve">1.7</w:t>
            </w:r>
          </w:p>
        </w:tc>
        <w:tc>
          <w:p>
            <w:pPr>
              <w:pStyle w:val="Compact"/>
              <w:jc w:val="right"/>
            </w:pPr>
            <w:r>
              <w:t xml:space="preserve">2.0</w:t>
            </w:r>
          </w:p>
        </w:tc>
        <w:tc>
          <w:p>
            <w:pPr>
              <w:pStyle w:val="Compact"/>
              <w:jc w:val="right"/>
            </w:pPr>
            <w:r>
              <w:t xml:space="preserve">4.2</w:t>
            </w:r>
          </w:p>
        </w:tc>
        <w:tc>
          <w:p>
            <w:pPr>
              <w:pStyle w:val="Compact"/>
              <w:jc w:val="right"/>
            </w:pPr>
            <w:r>
              <w:t xml:space="preserve">9.1</w:t>
            </w:r>
          </w:p>
        </w:tc>
      </w:tr>
      <w:tr>
        <w:tc>
          <w:p>
            <w:pPr>
              <w:pStyle w:val="Compact"/>
              <w:jc w:val="left"/>
            </w:pPr>
            <w:r>
              <w:t xml:space="preserve">Tunnel</w:t>
            </w:r>
          </w:p>
        </w:tc>
        <w:tc>
          <w:p>
            <w:pPr>
              <w:pStyle w:val="Compact"/>
              <w:jc w:val="right"/>
            </w:pPr>
            <w:r>
              <w:t xml:space="preserve">45</w:t>
            </w:r>
          </w:p>
        </w:tc>
        <w:tc>
          <w:p>
            <w:pPr>
              <w:pStyle w:val="Compact"/>
              <w:jc w:val="right"/>
            </w:pPr>
            <w:r>
              <w:t xml:space="preserve">4.3</w:t>
            </w:r>
          </w:p>
        </w:tc>
        <w:tc>
          <w:p>
            <w:pPr>
              <w:pStyle w:val="Compact"/>
              <w:jc w:val="right"/>
            </w:pPr>
            <w:r>
              <w:t xml:space="preserve">1.7</w:t>
            </w:r>
          </w:p>
        </w:tc>
        <w:tc>
          <w:p>
            <w:pPr>
              <w:pStyle w:val="Compact"/>
              <w:jc w:val="right"/>
            </w:pPr>
            <w:r>
              <w:t xml:space="preserve">1.6</w:t>
            </w:r>
          </w:p>
        </w:tc>
        <w:tc>
          <w:p>
            <w:pPr>
              <w:pStyle w:val="Compact"/>
              <w:jc w:val="right"/>
            </w:pPr>
            <w:r>
              <w:t xml:space="preserve">3.7</w:t>
            </w:r>
          </w:p>
        </w:tc>
        <w:tc>
          <w:p>
            <w:pPr>
              <w:pStyle w:val="Compact"/>
              <w:jc w:val="right"/>
            </w:pPr>
            <w:r>
              <w:t xml:space="preserve">8.9</w:t>
            </w:r>
          </w:p>
        </w:tc>
      </w:tr>
      <w:tr>
        <w:tc>
          <w:p>
            <w:pPr>
              <w:pStyle w:val="Compact"/>
              <w:jc w:val="left"/>
            </w:pPr>
            <w:r>
              <w:t xml:space="preserve">LeechBeach</w:t>
            </w:r>
          </w:p>
        </w:tc>
        <w:tc>
          <w:p>
            <w:pPr>
              <w:pStyle w:val="Compact"/>
              <w:jc w:val="right"/>
            </w:pPr>
            <w:r>
              <w:t xml:space="preserve">4</w:t>
            </w:r>
          </w:p>
        </w:tc>
        <w:tc>
          <w:p>
            <w:pPr>
              <w:pStyle w:val="Compact"/>
              <w:jc w:val="right"/>
            </w:pPr>
            <w:r>
              <w:t xml:space="preserve">4.8</w:t>
            </w:r>
          </w:p>
        </w:tc>
        <w:tc>
          <w:p>
            <w:pPr>
              <w:pStyle w:val="Compact"/>
              <w:jc w:val="right"/>
            </w:pPr>
            <w:r>
              <w:t xml:space="preserve">1.1</w:t>
            </w:r>
          </w:p>
        </w:tc>
        <w:tc>
          <w:p>
            <w:pPr>
              <w:pStyle w:val="Compact"/>
              <w:jc w:val="right"/>
            </w:pPr>
            <w:r>
              <w:t xml:space="preserve">3.3</w:t>
            </w:r>
          </w:p>
        </w:tc>
        <w:tc>
          <w:p>
            <w:pPr>
              <w:pStyle w:val="Compact"/>
              <w:jc w:val="right"/>
            </w:pPr>
            <w:r>
              <w:t xml:space="preserve">5.2</w:t>
            </w:r>
          </w:p>
        </w:tc>
        <w:tc>
          <w:p>
            <w:pPr>
              <w:pStyle w:val="Compact"/>
              <w:jc w:val="right"/>
            </w:pPr>
            <w:r>
              <w:t xml:space="preserve">5.6</w:t>
            </w:r>
          </w:p>
        </w:tc>
      </w:tr>
      <w:tr>
        <w:tc>
          <w:p>
            <w:pPr>
              <w:pStyle w:val="Compact"/>
              <w:jc w:val="left"/>
            </w:pPr>
            <w:r>
              <w:t xml:space="preserve">Boneyard</w:t>
            </w:r>
          </w:p>
        </w:tc>
        <w:tc>
          <w:p>
            <w:pPr>
              <w:pStyle w:val="Compact"/>
              <w:jc w:val="right"/>
            </w:pPr>
            <w:r>
              <w:t xml:space="preserve">8</w:t>
            </w:r>
          </w:p>
        </w:tc>
        <w:tc>
          <w:p>
            <w:pPr>
              <w:pStyle w:val="Compact"/>
              <w:jc w:val="right"/>
            </w:pPr>
            <w:r>
              <w:t xml:space="preserve">3.2</w:t>
            </w:r>
          </w:p>
        </w:tc>
        <w:tc>
          <w:p>
            <w:pPr>
              <w:pStyle w:val="Compact"/>
              <w:jc w:val="right"/>
            </w:pPr>
            <w:r>
              <w:t xml:space="preserve">1.8</w:t>
            </w:r>
          </w:p>
        </w:tc>
        <w:tc>
          <w:p>
            <w:pPr>
              <w:pStyle w:val="Compact"/>
              <w:jc w:val="right"/>
            </w:pPr>
            <w:r>
              <w:t xml:space="preserve">1.8</w:t>
            </w:r>
          </w:p>
        </w:tc>
        <w:tc>
          <w:p>
            <w:pPr>
              <w:pStyle w:val="Compact"/>
              <w:jc w:val="right"/>
            </w:pPr>
            <w:r>
              <w:t xml:space="preserve">1.9</w:t>
            </w:r>
          </w:p>
        </w:tc>
        <w:tc>
          <w:p>
            <w:pPr>
              <w:pStyle w:val="Compact"/>
              <w:jc w:val="right"/>
            </w:pPr>
            <w:r>
              <w:t xml:space="preserve">5.4</w:t>
            </w:r>
          </w:p>
        </w:tc>
      </w:tr>
      <w:tr>
        <w:tc>
          <w:p>
            <w:pPr>
              <w:pStyle w:val="Compact"/>
              <w:jc w:val="left"/>
            </w:pPr>
            <w:r>
              <w:t xml:space="preserve">DeceptionGulch</w:t>
            </w:r>
          </w:p>
        </w:tc>
        <w:tc>
          <w:p>
            <w:pPr>
              <w:pStyle w:val="Compact"/>
              <w:jc w:val="right"/>
            </w:pPr>
            <w:r>
              <w:t xml:space="preserve">2</w:t>
            </w:r>
          </w:p>
        </w:tc>
        <w:tc>
          <w:p>
            <w:pPr>
              <w:pStyle w:val="Compact"/>
              <w:jc w:val="right"/>
            </w:pPr>
            <w:r>
              <w:t xml:space="preserve">3.1</w:t>
            </w:r>
          </w:p>
        </w:tc>
        <w:tc>
          <w:p>
            <w:pPr>
              <w:pStyle w:val="Compact"/>
              <w:jc w:val="right"/>
            </w:pPr>
            <w:r>
              <w:t xml:space="preserve">1.4</w:t>
            </w:r>
          </w:p>
        </w:tc>
        <w:tc>
          <w:p>
            <w:pPr>
              <w:pStyle w:val="Compact"/>
              <w:jc w:val="right"/>
            </w:pPr>
            <w:r>
              <w:t xml:space="preserve">2.2</w:t>
            </w:r>
          </w:p>
        </w:tc>
        <w:tc>
          <w:p>
            <w:pPr>
              <w:pStyle w:val="Compact"/>
              <w:jc w:val="right"/>
            </w:pPr>
            <w:r>
              <w:t xml:space="preserve">3.1</w:t>
            </w:r>
          </w:p>
        </w:tc>
        <w:tc>
          <w:p>
            <w:pPr>
              <w:pStyle w:val="Compact"/>
              <w:jc w:val="right"/>
            </w:pPr>
            <w:r>
              <w:t xml:space="preserve">4.1</w:t>
            </w:r>
          </w:p>
        </w:tc>
      </w:tr>
      <w:tr>
        <w:tc>
          <w:p>
            <w:pPr>
              <w:pStyle w:val="Compact"/>
              <w:jc w:val="left"/>
            </w:pPr>
            <w:r>
              <w:t xml:space="preserve">JudgeCrk</w:t>
            </w:r>
          </w:p>
        </w:tc>
        <w:tc>
          <w:p>
            <w:pPr>
              <w:pStyle w:val="Compact"/>
              <w:jc w:val="right"/>
            </w:pPr>
            <w:r>
              <w:t xml:space="preserve">9</w:t>
            </w:r>
          </w:p>
        </w:tc>
        <w:tc>
          <w:p>
            <w:pPr>
              <w:pStyle w:val="Compact"/>
              <w:jc w:val="right"/>
            </w:pPr>
            <w:r>
              <w:t xml:space="preserve">8.2</w:t>
            </w:r>
          </w:p>
        </w:tc>
        <w:tc>
          <w:p>
            <w:pPr>
              <w:pStyle w:val="Compact"/>
              <w:jc w:val="right"/>
            </w:pPr>
            <w:r>
              <w:t xml:space="preserve">4.7</w:t>
            </w:r>
          </w:p>
        </w:tc>
        <w:tc>
          <w:p>
            <w:pPr>
              <w:pStyle w:val="Compact"/>
              <w:jc w:val="right"/>
            </w:pPr>
            <w:r>
              <w:t xml:space="preserve">4.4</w:t>
            </w:r>
          </w:p>
        </w:tc>
        <w:tc>
          <w:p>
            <w:pPr>
              <w:pStyle w:val="Compact"/>
              <w:jc w:val="right"/>
            </w:pPr>
            <w:r>
              <w:t xml:space="preserve">6.4</w:t>
            </w:r>
          </w:p>
        </w:tc>
        <w:tc>
          <w:p>
            <w:pPr>
              <w:pStyle w:val="Compact"/>
              <w:jc w:val="right"/>
            </w:pPr>
            <w:r>
              <w:t xml:space="preserve">17.2</w:t>
            </w:r>
          </w:p>
        </w:tc>
      </w:tr>
      <w:tr>
        <w:tc>
          <w:p>
            <w:pPr>
              <w:pStyle w:val="Compact"/>
              <w:jc w:val="left"/>
            </w:pPr>
            <w:r>
              <w:t xml:space="preserve">Rithet</w:t>
            </w:r>
          </w:p>
        </w:tc>
        <w:tc>
          <w:p>
            <w:pPr>
              <w:pStyle w:val="Compact"/>
              <w:jc w:val="right"/>
            </w:pPr>
            <w:r>
              <w:t xml:space="preserve">13</w:t>
            </w:r>
          </w:p>
        </w:tc>
        <w:tc>
          <w:p>
            <w:pPr>
              <w:pStyle w:val="Compact"/>
              <w:jc w:val="right"/>
            </w:pPr>
            <w:r>
              <w:t xml:space="preserve">6.7</w:t>
            </w:r>
          </w:p>
        </w:tc>
        <w:tc>
          <w:p>
            <w:pPr>
              <w:pStyle w:val="Compact"/>
              <w:jc w:val="right"/>
            </w:pPr>
            <w:r>
              <w:t xml:space="preserve">4.3</w:t>
            </w:r>
          </w:p>
        </w:tc>
        <w:tc>
          <w:p>
            <w:pPr>
              <w:pStyle w:val="Compact"/>
              <w:jc w:val="right"/>
            </w:pPr>
            <w:r>
              <w:t xml:space="preserve">2.3</w:t>
            </w:r>
          </w:p>
        </w:tc>
        <w:tc>
          <w:p>
            <w:pPr>
              <w:pStyle w:val="Compact"/>
              <w:jc w:val="right"/>
            </w:pPr>
            <w:r>
              <w:t xml:space="preserve">5.8</w:t>
            </w:r>
          </w:p>
        </w:tc>
        <w:tc>
          <w:p>
            <w:pPr>
              <w:pStyle w:val="Compact"/>
              <w:jc w:val="right"/>
            </w:pPr>
            <w:r>
              <w:t xml:space="preserve">12.7</w:t>
            </w:r>
          </w:p>
        </w:tc>
      </w:tr>
      <w:tr>
        <w:tc>
          <w:p>
            <w:pPr>
              <w:pStyle w:val="Compact"/>
              <w:jc w:val="left"/>
            </w:pPr>
            <w:r>
              <w:t xml:space="preserve">Lazar</w:t>
            </w:r>
          </w:p>
        </w:tc>
        <w:tc>
          <w:p>
            <w:pPr>
              <w:pStyle w:val="Compact"/>
              <w:jc w:val="right"/>
            </w:pPr>
            <w:r>
              <w:t xml:space="preserve">11</w:t>
            </w:r>
          </w:p>
        </w:tc>
        <w:tc>
          <w:p>
            <w:pPr>
              <w:pStyle w:val="Compact"/>
              <w:jc w:val="right"/>
            </w:pPr>
            <w:r>
              <w:t xml:space="preserve">6.3</w:t>
            </w:r>
          </w:p>
        </w:tc>
        <w:tc>
          <w:p>
            <w:pPr>
              <w:pStyle w:val="Compact"/>
              <w:jc w:val="right"/>
            </w:pPr>
            <w:r>
              <w:t xml:space="preserve">1.6</w:t>
            </w:r>
          </w:p>
        </w:tc>
        <w:tc>
          <w:p>
            <w:pPr>
              <w:pStyle w:val="Compact"/>
              <w:jc w:val="right"/>
            </w:pPr>
            <w:r>
              <w:t xml:space="preserve">3.7</w:t>
            </w:r>
          </w:p>
        </w:tc>
        <w:tc>
          <w:p>
            <w:pPr>
              <w:pStyle w:val="Compact"/>
              <w:jc w:val="right"/>
            </w:pPr>
            <w:r>
              <w:t xml:space="preserve">6.5</w:t>
            </w:r>
          </w:p>
        </w:tc>
        <w:tc>
          <w:p>
            <w:pPr>
              <w:pStyle w:val="Compact"/>
              <w:jc w:val="right"/>
            </w:pPr>
            <w:r>
              <w:t xml:space="preserve">8.6</w:t>
            </w:r>
          </w:p>
        </w:tc>
      </w:tr>
      <w:tr>
        <w:tc>
          <w:p>
            <w:pPr>
              <w:pStyle w:val="Compact"/>
              <w:jc w:val="left"/>
            </w:pPr>
            <w:r>
              <w:t xml:space="preserve">Jarvis</w:t>
            </w:r>
          </w:p>
        </w:tc>
        <w:tc>
          <w:p>
            <w:pPr>
              <w:pStyle w:val="Compact"/>
              <w:jc w:val="right"/>
            </w:pPr>
            <w:r>
              <w:t xml:space="preserve">15</w:t>
            </w:r>
          </w:p>
        </w:tc>
        <w:tc>
          <w:p>
            <w:pPr>
              <w:pStyle w:val="Compact"/>
              <w:jc w:val="right"/>
            </w:pPr>
            <w:r>
              <w:t xml:space="preserve">9.8</w:t>
            </w:r>
          </w:p>
        </w:tc>
        <w:tc>
          <w:p>
            <w:pPr>
              <w:pStyle w:val="Compact"/>
              <w:jc w:val="right"/>
            </w:pPr>
            <w:r>
              <w:t xml:space="preserve">2.6</w:t>
            </w:r>
          </w:p>
        </w:tc>
        <w:tc>
          <w:p>
            <w:pPr>
              <w:pStyle w:val="Compact"/>
              <w:jc w:val="right"/>
            </w:pPr>
            <w:r>
              <w:t xml:space="preserve">5.9</w:t>
            </w:r>
          </w:p>
        </w:tc>
        <w:tc>
          <w:p>
            <w:pPr>
              <w:pStyle w:val="Compact"/>
              <w:jc w:val="right"/>
            </w:pPr>
            <w:r>
              <w:t xml:space="preserve">9.8</w:t>
            </w:r>
          </w:p>
        </w:tc>
        <w:tc>
          <w:p>
            <w:pPr>
              <w:pStyle w:val="Compact"/>
              <w:jc w:val="right"/>
            </w:pPr>
            <w:r>
              <w:t xml:space="preserve">16.7</w:t>
            </w:r>
          </w:p>
        </w:tc>
      </w:tr>
      <w:tr>
        <w:tc>
          <w:p>
            <w:pPr>
              <w:pStyle w:val="Compact"/>
              <w:jc w:val="left"/>
            </w:pPr>
            <w:r>
              <w:t xml:space="preserve">WestJordan</w:t>
            </w:r>
          </w:p>
        </w:tc>
        <w:tc>
          <w:p>
            <w:pPr>
              <w:pStyle w:val="Compact"/>
              <w:jc w:val="right"/>
            </w:pPr>
            <w:r>
              <w:t xml:space="preserve">2</w:t>
            </w:r>
          </w:p>
        </w:tc>
        <w:tc>
          <w:p>
            <w:pPr>
              <w:pStyle w:val="Compact"/>
              <w:jc w:val="right"/>
            </w:pPr>
            <w:r>
              <w:t xml:space="preserve">5.0</w:t>
            </w:r>
          </w:p>
        </w:tc>
        <w:tc>
          <w:p>
            <w:pPr>
              <w:pStyle w:val="Compact"/>
              <w:jc w:val="right"/>
            </w:pPr>
            <w:r>
              <w:t xml:space="preserve">2.0</w:t>
            </w:r>
          </w:p>
        </w:tc>
        <w:tc>
          <w:p>
            <w:pPr>
              <w:pStyle w:val="Compact"/>
              <w:jc w:val="right"/>
            </w:pPr>
            <w:r>
              <w:t xml:space="preserve">3.6</w:t>
            </w:r>
          </w:p>
        </w:tc>
        <w:tc>
          <w:p>
            <w:pPr>
              <w:pStyle w:val="Compact"/>
              <w:jc w:val="right"/>
            </w:pPr>
            <w:r>
              <w:t xml:space="preserve">5.0</w:t>
            </w:r>
          </w:p>
        </w:tc>
        <w:tc>
          <w:p>
            <w:pPr>
              <w:pStyle w:val="Compact"/>
              <w:jc w:val="right"/>
            </w:pPr>
            <w:r>
              <w:t xml:space="preserve">6.5</w:t>
            </w:r>
          </w:p>
        </w:tc>
      </w:tr>
      <w:tr>
        <w:tc>
          <w:p>
            <w:pPr>
              <w:pStyle w:val="Compact"/>
              <w:jc w:val="left"/>
            </w:pPr>
            <w:r>
              <w:t xml:space="preserve">DeceptionReservoir</w:t>
            </w:r>
          </w:p>
        </w:tc>
        <w:tc>
          <w:p>
            <w:pPr>
              <w:pStyle w:val="Compact"/>
              <w:jc w:val="right"/>
            </w:pPr>
            <w:r>
              <w:t xml:space="preserve">4</w:t>
            </w:r>
          </w:p>
        </w:tc>
        <w:tc>
          <w:p>
            <w:pPr>
              <w:pStyle w:val="Compact"/>
              <w:jc w:val="right"/>
            </w:pPr>
            <w:r>
              <w:t xml:space="preserve">4.4</w:t>
            </w:r>
          </w:p>
        </w:tc>
        <w:tc>
          <w:p>
            <w:pPr>
              <w:pStyle w:val="Compact"/>
              <w:jc w:val="right"/>
            </w:pPr>
            <w:r>
              <w:t xml:space="preserve">1.8</w:t>
            </w:r>
          </w:p>
        </w:tc>
        <w:tc>
          <w:p>
            <w:pPr>
              <w:pStyle w:val="Compact"/>
              <w:jc w:val="right"/>
            </w:pPr>
            <w:r>
              <w:t xml:space="preserve">3.1</w:t>
            </w:r>
          </w:p>
        </w:tc>
        <w:tc>
          <w:p>
            <w:pPr>
              <w:pStyle w:val="Compact"/>
              <w:jc w:val="right"/>
            </w:pPr>
            <w:r>
              <w:t xml:space="preserve">3.8</w:t>
            </w:r>
          </w:p>
        </w:tc>
        <w:tc>
          <w:p>
            <w:pPr>
              <w:pStyle w:val="Compact"/>
              <w:jc w:val="right"/>
            </w:pPr>
            <w:r>
              <w:t xml:space="preserve">7.0</w:t>
            </w:r>
          </w:p>
        </w:tc>
      </w:tr>
    </w:tbl>
    <w:p>
      <w:pPr>
        <w:pStyle w:val="Heading3"/>
      </w:pPr>
      <w:bookmarkStart w:id="72" w:name="rising-limb-trends-supplyhydro-controls"/>
      <w:r>
        <w:t xml:space="preserve">Rising limb trends (supply/hydro controls)</w:t>
      </w:r>
      <w:bookmarkEnd w:id="72"/>
    </w:p>
    <w:p>
      <w:pPr>
        <w:pStyle w:val="Compact"/>
        <w:numPr>
          <w:numId w:val="1006"/>
          <w:ilvl w:val="0"/>
        </w:numPr>
      </w:pPr>
      <w:r>
        <w:t xml:space="preserve">was the trend for conc on RL consistent at each site across the study period or did it change from early in the wet season to later?</w:t>
      </w:r>
    </w:p>
    <w:p>
      <w:pPr>
        <w:pStyle w:val="Compact"/>
        <w:numPr>
          <w:numId w:val="1006"/>
          <w:ilvl w:val="0"/>
        </w:numPr>
      </w:pPr>
      <w:r>
        <w:t xml:space="preserve">did each of the six subbasin sites have similar RL trends?</w:t>
      </w:r>
    </w:p>
    <w:p>
      <w:pPr>
        <w:pStyle w:val="Heading3"/>
      </w:pPr>
      <w:bookmarkStart w:id="73" w:name="doc-and-metals-concentrations"/>
      <w:r>
        <w:t xml:space="preserve">DOC and metals concentrations</w:t>
      </w:r>
      <w:bookmarkEnd w:id="73"/>
    </w:p>
    <w:p>
      <w:pPr>
        <w:pStyle w:val="FirstParagraph"/>
      </w:pPr>
      <w:r>
        <w:drawing>
          <wp:inline>
            <wp:extent cx="5943600" cy="3668888"/>
            <wp:effectExtent b="0" l="0" r="0" t="0"/>
            <wp:docPr descr="__Figure_Concentrations of DOC and total metals" title="" id="1" name="Picture"/>
            <a:graphic>
              <a:graphicData uri="http://schemas.openxmlformats.org/drawingml/2006/picture">
                <pic:pic>
                  <pic:nvPicPr>
                    <pic:cNvPr descr="R-outputs_UBC-forWater-MSc_HMc/figures/DOC-Metals_subbasin_scatterplots.png" id="0" name="Picture"/>
                    <pic:cNvPicPr>
                      <a:picLocks noChangeArrowheads="1" noChangeAspect="1"/>
                    </pic:cNvPicPr>
                  </pic:nvPicPr>
                  <pic:blipFill>
                    <a:blip r:embed="rId74"/>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r>
        <w:t xml:space="preserve"> </w:t>
      </w:r>
    </w:p>
    <w:p>
      <w:pPr>
        <w:pStyle w:val="BodyText"/>
      </w:pPr>
      <w:r>
        <w:t xml:space="preserve">DOC concentrationshad strong positive relationships with total mercury (R</w:t>
      </w:r>
      <w:r>
        <w:rPr>
          <w:vertAlign w:val="superscript"/>
        </w:rPr>
        <w:t xml:space="preserve">2</w:t>
      </w:r>
      <w:r>
        <w:t xml:space="preserve">=0.9998, n=3) aluminum (R</w:t>
      </w:r>
      <w:r>
        <w:rPr>
          <w:vertAlign w:val="superscript"/>
        </w:rPr>
        <w:t xml:space="preserve">2</w:t>
      </w:r>
      <w:r>
        <w:t xml:space="preserve">=0.81, n=36), and iron (R</w:t>
      </w:r>
      <w:r>
        <w:rPr>
          <w:vertAlign w:val="superscript"/>
        </w:rPr>
        <w:t xml:space="preserve">2</w:t>
      </w:r>
      <w:r>
        <w:t xml:space="preserve">=0.72, n=36). While the relationships were not as strong, DOC was also positively related to concentrations of copper (R</w:t>
      </w:r>
      <w:r>
        <w:rPr>
          <w:vertAlign w:val="superscript"/>
        </w:rPr>
        <w:t xml:space="preserve">2</w:t>
      </w:r>
      <w:r>
        <w:t xml:space="preserve">=0.47, n=27), barium (R</w:t>
      </w:r>
      <w:r>
        <w:rPr>
          <w:vertAlign w:val="superscript"/>
        </w:rPr>
        <w:t xml:space="preserve">2</w:t>
      </w:r>
      <w:r>
        <w:t xml:space="preserve">=0.25, n=30), and manganese (R</w:t>
      </w:r>
      <w:r>
        <w:rPr>
          <w:vertAlign w:val="superscript"/>
        </w:rPr>
        <w:t xml:space="preserve">2</w:t>
      </w:r>
      <w:r>
        <w:t xml:space="preserve">=0.21, n=12). Not included in FIGUREYYYYYY is the weak inverse relationship between DOC and silicon (R</w:t>
      </w:r>
      <w:r>
        <w:rPr>
          <w:vertAlign w:val="superscript"/>
        </w:rPr>
        <w:t xml:space="preserve">2</w:t>
      </w:r>
      <w:r>
        <w:t xml:space="preserve">=0.061, n=29) and magnesium (R</w:t>
      </w:r>
      <w:r>
        <w:rPr>
          <w:vertAlign w:val="superscript"/>
        </w:rPr>
        <w:t xml:space="preserve">2</w:t>
      </w:r>
      <w:r>
        <w:t xml:space="preserve">=0.015, n=30). All metals concentrations were below maximum allowable concentrations and aesthetic objectives for source water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Heading2"/>
      </w:pPr>
      <w:bookmarkStart w:id="75" w:name="dom-character-seasonality"/>
      <w:r>
        <w:t xml:space="preserve">DOM character (&amp; seasonality)</w:t>
      </w:r>
      <w:bookmarkEnd w:id="75"/>
    </w:p>
    <w:p>
      <w:pPr>
        <w:pStyle w:val="Heading3"/>
      </w:pPr>
      <w:bookmarkStart w:id="76" w:name="suva-aromaticity"/>
      <w:r>
        <w:t xml:space="preserve">SUVA (aromaticity)</w:t>
      </w:r>
      <w:bookmarkEnd w:id="76"/>
    </w:p>
    <w:p>
      <w:pPr>
        <w:pStyle w:val="FirstParagraph"/>
      </w:pPr>
      <w:r>
        <w:t xml:space="preserve">**** note that the correlation between DOC and metals becomes even tighter when SUVA is used instead of NPOC… greater aromaticity indicates greater potential for complexation (aromatic ~ ligand)</w:t>
      </w:r>
      <w:r>
        <w:t xml:space="preserve"> </w:t>
      </w:r>
      <w:r>
        <w:t xml:space="preserve">### E2:E3 (molecular weight)</w:t>
      </w:r>
      <w:r>
        <w:t xml:space="preserve"> </w:t>
      </w:r>
      <w:r>
        <w:t xml:space="preserve">* I’m not sure how to interpret these…. seem to be pretty similar, with maybe a bit more variance later in the season????</w:t>
      </w:r>
    </w:p>
    <w:p>
      <w:pPr>
        <w:pStyle w:val="Heading2"/>
      </w:pPr>
      <w:bookmarkStart w:id="77" w:name="hydrologic-response-flow-ranking"/>
      <w:r>
        <w:t xml:space="preserve">Hydrologic Response &amp; flow ranking</w:t>
      </w:r>
      <w:bookmarkEnd w:id="77"/>
    </w:p>
    <w:p>
      <w:pPr>
        <w:pStyle w:val="Compact"/>
        <w:numPr>
          <w:numId w:val="1007"/>
          <w:ilvl w:val="0"/>
        </w:numPr>
      </w:pPr>
      <w:r>
        <w:t xml:space="preserve">flow ranking based on one synoptic streamflow gauging campaign (likely to match stream-order?)</w:t>
      </w:r>
      <w:r>
        <w:t xml:space="preserve"> </w:t>
      </w:r>
      <w:r>
        <w:t xml:space="preserve">### stage not Q</w:t>
      </w:r>
    </w:p>
    <w:p>
      <w:pPr>
        <w:pStyle w:val="Compact"/>
        <w:numPr>
          <w:numId w:val="1007"/>
          <w:ilvl w:val="0"/>
        </w:numPr>
      </w:pPr>
      <w:r>
        <w:t xml:space="preserve">using stage data rather than flow indicates a general response but doesn’t provide the same level of detail that discharge values could.</w:t>
      </w:r>
      <w:r>
        <w:t xml:space="preserve"> </w:t>
      </w:r>
      <w:r>
        <w:t xml:space="preserve">### storm delineation by rainfall</w:t>
      </w:r>
    </w:p>
    <w:p>
      <w:pPr>
        <w:pStyle w:val="Compact"/>
        <w:numPr>
          <w:numId w:val="1007"/>
          <w:ilvl w:val="0"/>
        </w:numPr>
      </w:pPr>
      <w:r>
        <w:t xml:space="preserve">how storms were defined</w:t>
      </w:r>
    </w:p>
    <w:p>
      <w:pPr>
        <w:pStyle w:val="Compact"/>
        <w:numPr>
          <w:numId w:val="1007"/>
          <w:ilvl w:val="0"/>
        </w:numPr>
      </w:pPr>
      <w:r>
        <w:t xml:space="preserve">how many did I capture</w:t>
      </w:r>
    </w:p>
    <w:p>
      <w:pPr>
        <w:pStyle w:val="Compact"/>
        <w:numPr>
          <w:numId w:val="1007"/>
          <w:ilvl w:val="0"/>
        </w:numPr>
      </w:pPr>
      <w:r>
        <w:t xml:space="preserve">time-to-peak at each subbasin</w:t>
      </w:r>
      <w:r>
        <w:t xml:space="preserve"> </w:t>
      </w:r>
      <w:r>
        <w:t xml:space="preserve">### synchrony of nested sub-catchments</w:t>
      </w:r>
    </w:p>
    <w:p>
      <w:pPr>
        <w:pStyle w:val="Compact"/>
        <w:numPr>
          <w:numId w:val="1007"/>
          <w:ilvl w:val="0"/>
        </w:numPr>
      </w:pPr>
      <w:r>
        <w:t xml:space="preserve">synchrony based on mean variance of stage among the subbasin sites</w:t>
      </w:r>
    </w:p>
    <w:p>
      <w:pPr>
        <w:pStyle w:val="Heading2"/>
      </w:pPr>
      <w:bookmarkStart w:id="78" w:name="treatability-study"/>
      <w:r>
        <w:t xml:space="preserve">Treatability study</w:t>
      </w:r>
      <w:bookmarkEnd w:id="78"/>
    </w:p>
    <w:p>
      <w:pPr>
        <w:numPr>
          <w:numId w:val="1008"/>
          <w:ilvl w:val="0"/>
        </w:numPr>
      </w:pPr>
      <w:r>
        <w:t xml:space="preserve">how did the 2 future sites (Tunnel and Deception) compare to the 2 current sites (Rithet and Judge)?</w:t>
      </w:r>
    </w:p>
    <w:p>
      <w:pPr>
        <w:numPr>
          <w:numId w:val="1008"/>
          <w:ilvl w:val="0"/>
        </w:numPr>
      </w:pPr>
      <w:r>
        <w:t xml:space="preserve">Reservoir effects create more stable source water conditions, despite sometimes dramatic changes in source tributary water quality. Understanding the hydrochemical residence time, water balance, and mixing dynamics of the Sooke Reservoir is key to understanding how variable source tributary water quality could effect treatability.</w:t>
      </w:r>
    </w:p>
    <w:p>
      <w:pPr>
        <w:numPr>
          <w:numId w:val="1000"/>
          <w:ilvl w:val="0"/>
        </w:numPr>
      </w:pPr>
      <w:r>
        <w:rPr>
          <w:i/>
        </w:rPr>
        <w:t xml:space="preserve">possibly for appendix</w:t>
      </w:r>
      <w:r>
        <w:t xml:space="preserve"> </w:t>
      </w:r>
      <w:r>
        <w:t xml:space="preserve">## hold-time experiments</w:t>
      </w:r>
      <w:r>
        <w:t xml:space="preserve"> </w:t>
      </w:r>
      <w:r>
        <w:t xml:space="preserve">## subbasin rack temperatures</w:t>
      </w:r>
      <w:r>
        <w:t xml:space="preserve"> </w:t>
      </w:r>
      <w:r>
        <w:t xml:space="preserve">##</w:t>
      </w:r>
    </w:p>
    <w:p>
      <w:pPr>
        <w:pStyle w:val="Heading1"/>
      </w:pPr>
      <w:bookmarkStart w:id="79" w:name="discussion"/>
      <w:r>
        <w:t xml:space="preserve">Discussion</w:t>
      </w:r>
      <w:bookmarkEnd w:id="79"/>
    </w:p>
    <w:p>
      <w:pPr>
        <w:pStyle w:val="Heading1"/>
      </w:pPr>
      <w:bookmarkStart w:id="80" w:name="conclusions"/>
      <w:r>
        <w:t xml:space="preserve">Conclusions</w:t>
      </w:r>
      <w:bookmarkEnd w:id="80"/>
    </w:p>
    <w:p>
      <w:pPr>
        <w:pStyle w:val="FirstParagraph"/>
      </w:pPr>
      <w:r>
        <w:t xml:space="preserve">I did several things and will now discuss why they are good.</w:t>
      </w:r>
    </w:p>
    <w:p>
      <w:pPr>
        <w:pStyle w:val="Heading1"/>
      </w:pPr>
      <w:bookmarkStart w:id="81" w:name="references"/>
      <w:r>
        <w:t xml:space="preserve">References</w:t>
      </w:r>
      <w:bookmarkEnd w:id="81"/>
    </w:p>
    <w:bookmarkStart w:id="161" w:name="refs"/>
    <w:bookmarkStart w:id="83"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82">
        <w:r>
          <w:rPr>
            <w:rStyle w:val="Hyperlink"/>
          </w:rPr>
          <w:t xml:space="preserve">https://doi.org/10.1111/ele.12897</w:t>
        </w:r>
      </w:hyperlink>
      <w:r>
        <w:t xml:space="preserve">.</w:t>
      </w:r>
    </w:p>
    <w:bookmarkEnd w:id="83"/>
    <w:bookmarkStart w:id="85"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84">
        <w:r>
          <w:rPr>
            <w:rStyle w:val="Hyperlink"/>
          </w:rPr>
          <w:t xml:space="preserve">https://doi.org/10.1021/es103992s</w:t>
        </w:r>
      </w:hyperlink>
      <w:r>
        <w:t xml:space="preserve">.</w:t>
      </w:r>
    </w:p>
    <w:bookmarkEnd w:id="85"/>
    <w:bookmarkStart w:id="87"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86">
        <w:r>
          <w:rPr>
            <w:rStyle w:val="Hyperlink"/>
          </w:rPr>
          <w:t xml:space="preserve">https://doi.org/10.1016/j.jhydrol.2014.05.060</w:t>
        </w:r>
      </w:hyperlink>
      <w:r>
        <w:t xml:space="preserve">.</w:t>
      </w:r>
    </w:p>
    <w:bookmarkEnd w:id="87"/>
    <w:bookmarkStart w:id="89" w:name="ref-BC2019"/>
    <w:p>
      <w:pPr>
        <w:pStyle w:val="Bibliography"/>
      </w:pPr>
      <w:r>
        <w:t xml:space="preserve">British Columbia Ministry of Environment. 2017. “Source Drinking Water Quality Guidelines: Guideline Summary.” Victoria, B.C.: Prov. B.C.</w:t>
      </w:r>
      <w:r>
        <w:t xml:space="preserve"> </w:t>
      </w:r>
      <w:hyperlink r:id="rId88">
        <w:r>
          <w:rPr>
            <w:rStyle w:val="Hyperlink"/>
          </w:rPr>
          <w:t xml:space="preserve">https://www2.gov.bc.ca/gov/content/governments/organizational-structure/ministries-organizations/ministries/environment-climate-change</w:t>
        </w:r>
      </w:hyperlink>
      <w:r>
        <w:t xml:space="preserve">.</w:t>
      </w:r>
    </w:p>
    <w:bookmarkEnd w:id="89"/>
    <w:bookmarkStart w:id="90" w:name="ref-CCME2004"/>
    <w:p>
      <w:pPr>
        <w:pStyle w:val="Bibliography"/>
      </w:pPr>
      <w:r>
        <w:t xml:space="preserve">Canadian Council of Ministers of the Environment. 2004. “From source to tap : guidance on the multi-barrier approach to safe drinking water.”</w:t>
      </w:r>
    </w:p>
    <w:bookmarkEnd w:id="90"/>
    <w:bookmarkStart w:id="92"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91">
        <w:r>
          <w:rPr>
            <w:rStyle w:val="Hyperlink"/>
          </w:rPr>
          <w:t xml:space="preserve">https://doi.org/10.2166/aqua.2008.064</w:t>
        </w:r>
      </w:hyperlink>
      <w:r>
        <w:t xml:space="preserve">.</w:t>
      </w:r>
    </w:p>
    <w:bookmarkEnd w:id="92"/>
    <w:bookmarkStart w:id="94"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93">
        <w:r>
          <w:rPr>
            <w:rStyle w:val="Hyperlink"/>
          </w:rPr>
          <w:t xml:space="preserve">https://doi.org/10.1139/cjfas-2014-0400</w:t>
        </w:r>
      </w:hyperlink>
      <w:r>
        <w:t xml:space="preserve">.</w:t>
      </w:r>
    </w:p>
    <w:bookmarkEnd w:id="94"/>
    <w:bookmarkStart w:id="96"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95">
        <w:r>
          <w:rPr>
            <w:rStyle w:val="Hyperlink"/>
          </w:rPr>
          <w:t xml:space="preserve">https://doi.org/10.1016/B978-0-12-382092-1.00019-1</w:t>
        </w:r>
      </w:hyperlink>
      <w:r>
        <w:t xml:space="preserve">.</w:t>
      </w:r>
    </w:p>
    <w:bookmarkEnd w:id="96"/>
    <w:bookmarkStart w:id="98"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97">
        <w:r>
          <w:rPr>
            <w:rStyle w:val="Hyperlink"/>
          </w:rPr>
          <w:t xml:space="preserve">https://doi.org/10.1016/j.watres.2016.08.031</w:t>
        </w:r>
      </w:hyperlink>
      <w:r>
        <w:t xml:space="preserve">.</w:t>
      </w:r>
    </w:p>
    <w:bookmarkEnd w:id="98"/>
    <w:bookmarkStart w:id="100"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99">
        <w:r>
          <w:rPr>
            <w:rStyle w:val="Hyperlink"/>
          </w:rPr>
          <w:t xml:space="preserve">http://scholar.google.com/scholar?hl=en{\&amp;}btnG=Search{\&amp;}q=intitle:Running+Pure{\#}1</w:t>
        </w:r>
      </w:hyperlink>
      <w:r>
        <w:t xml:space="preserve">.</w:t>
      </w:r>
    </w:p>
    <w:bookmarkEnd w:id="100"/>
    <w:bookmarkStart w:id="102"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01">
        <w:r>
          <w:rPr>
            <w:rStyle w:val="Hyperlink"/>
          </w:rPr>
          <w:t xml:space="preserve">http://www.standardmethods.org/</w:t>
        </w:r>
      </w:hyperlink>
      <w:r>
        <w:t xml:space="preserve">.</w:t>
      </w:r>
    </w:p>
    <w:bookmarkEnd w:id="102"/>
    <w:bookmarkStart w:id="104"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03">
        <w:r>
          <w:rPr>
            <w:rStyle w:val="Hyperlink"/>
          </w:rPr>
          <w:t xml:space="preserve">https://doi.org/10.1016/j.watres.2010.08.051</w:t>
        </w:r>
      </w:hyperlink>
      <w:r>
        <w:t xml:space="preserve">.</w:t>
      </w:r>
    </w:p>
    <w:bookmarkEnd w:id="104"/>
    <w:bookmarkStart w:id="10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05">
        <w:r>
          <w:rPr>
            <w:rStyle w:val="Hyperlink"/>
          </w:rPr>
          <w:t xml:space="preserve">https://doi.org/10.3133/fs06700</w:t>
        </w:r>
      </w:hyperlink>
      <w:r>
        <w:t xml:space="preserve">.</w:t>
      </w:r>
    </w:p>
    <w:bookmarkEnd w:id="106"/>
    <w:bookmarkStart w:id="108" w:name="ref-HealthCanada2019"/>
    <w:p>
      <w:pPr>
        <w:pStyle w:val="Bibliography"/>
      </w:pPr>
      <w:r>
        <w:t xml:space="preserve">Health Canada. 2019. “Guidance on Natural Organic Matter in Drinking Water.”</w:t>
      </w:r>
      <w:r>
        <w:t xml:space="preserve"> </w:t>
      </w:r>
      <w:hyperlink r:id="rId107">
        <w:r>
          <w:rPr>
            <w:rStyle w:val="Hyperlink"/>
          </w:rPr>
          <w:t xml:space="preserve">https://www.canada.ca/content/dam/hc-sc/documents/programs/consultation-organic-matter-drinking-water/NOM20190129-eng.pdf</w:t>
        </w:r>
      </w:hyperlink>
      <w:r>
        <w:t xml:space="preserve">.</w:t>
      </w:r>
    </w:p>
    <w:bookmarkEnd w:id="108"/>
    <w:bookmarkStart w:id="110" w:name="ref-HealthCanada2006"/>
    <w:p>
      <w:pPr>
        <w:pStyle w:val="Bibliography"/>
      </w:pPr>
      <w:r>
        <w:t xml:space="preserve">HealthCanada. 2006. “Drinking Water Chlorination.”</w:t>
      </w:r>
      <w:r>
        <w:t xml:space="preserve"> </w:t>
      </w:r>
      <w:hyperlink r:id="rId109">
        <w:r>
          <w:rPr>
            <w:rStyle w:val="Hyperlink"/>
          </w:rPr>
          <w:t xml:space="preserve">https://www.canada.ca/en/health-canada/services/healthy-living/your-health/environment/drinking-water-chlorination.html</w:t>
        </w:r>
      </w:hyperlink>
      <w:r>
        <w:t xml:space="preserve">.</w:t>
      </w:r>
    </w:p>
    <w:bookmarkEnd w:id="110"/>
    <w:bookmarkStart w:id="112" w:name="ref-HealthLinkBC2018"/>
    <w:p>
      <w:pPr>
        <w:pStyle w:val="Bibliography"/>
      </w:pPr>
      <w:r>
        <w:t xml:space="preserve">HealthLinkBC. 2018. “Drinking Water Chlorination Facts.”</w:t>
      </w:r>
      <w:r>
        <w:t xml:space="preserve"> </w:t>
      </w:r>
      <w:hyperlink r:id="rId111">
        <w:r>
          <w:rPr>
            <w:rStyle w:val="Hyperlink"/>
          </w:rPr>
          <w:t xml:space="preserve">https://www.healthlinkbc.ca/healthlinkbc-files/drinking-water-chlorination</w:t>
        </w:r>
      </w:hyperlink>
      <w:r>
        <w:t xml:space="preserve">.</w:t>
      </w:r>
    </w:p>
    <w:bookmarkEnd w:id="112"/>
    <w:bookmarkStart w:id="114"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13">
        <w:r>
          <w:rPr>
            <w:rStyle w:val="Hyperlink"/>
          </w:rPr>
          <w:t xml:space="preserve">https://www.jstor.org/stable/40058211</w:t>
        </w:r>
      </w:hyperlink>
      <w:r>
        <w:t xml:space="preserve">.</w:t>
      </w:r>
    </w:p>
    <w:bookmarkEnd w:id="114"/>
    <w:bookmarkStart w:id="116"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15">
        <w:r>
          <w:rPr>
            <w:rStyle w:val="Hyperlink"/>
          </w:rPr>
          <w:t xml:space="preserve">https://doi.org/10.1016/j.chemosphere.2015.03.039</w:t>
        </w:r>
      </w:hyperlink>
      <w:r>
        <w:t xml:space="preserve">.</w:t>
      </w:r>
    </w:p>
    <w:bookmarkEnd w:id="116"/>
    <w:bookmarkStart w:id="118"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17">
        <w:r>
          <w:rPr>
            <w:rStyle w:val="Hyperlink"/>
          </w:rPr>
          <w:t xml:space="preserve">https://doi.org/10.1002/j.1551-8833.1995.tb06302.x</w:t>
        </w:r>
      </w:hyperlink>
      <w:r>
        <w:t xml:space="preserve">.</w:t>
      </w:r>
    </w:p>
    <w:bookmarkEnd w:id="118"/>
    <w:bookmarkStart w:id="120"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19">
        <w:r>
          <w:rPr>
            <w:rStyle w:val="Hyperlink"/>
          </w:rPr>
          <w:t xml:space="preserve">https://doi.org/doi:10.1046/j.1365-2427.1997.d01-539.x</w:t>
        </w:r>
      </w:hyperlink>
      <w:r>
        <w:t xml:space="preserve">.</w:t>
      </w:r>
    </w:p>
    <w:bookmarkEnd w:id="120"/>
    <w:bookmarkStart w:id="122"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21">
        <w:r>
          <w:rPr>
            <w:rStyle w:val="Hyperlink"/>
          </w:rPr>
          <w:t xml:space="preserve">https://archive.org/details/metaltransportre00lazeuoft/mode/2up</w:t>
        </w:r>
      </w:hyperlink>
      <w:r>
        <w:t xml:space="preserve">.</w:t>
      </w:r>
    </w:p>
    <w:bookmarkEnd w:id="122"/>
    <w:bookmarkStart w:id="124"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23">
        <w:r>
          <w:rPr>
            <w:rStyle w:val="Hyperlink"/>
          </w:rPr>
          <w:t xml:space="preserve">https://doi.org/10.1016/j.jhazmat.2014.02.009</w:t>
        </w:r>
      </w:hyperlink>
      <w:r>
        <w:t xml:space="preserve">.</w:t>
      </w:r>
    </w:p>
    <w:bookmarkEnd w:id="124"/>
    <w:bookmarkStart w:id="126"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25">
        <w:r>
          <w:rPr>
            <w:rStyle w:val="Hyperlink"/>
          </w:rPr>
          <w:t xml:space="preserve">https://doi.org/10.1016/j.chemosphere.2011.01.018</w:t>
        </w:r>
      </w:hyperlink>
      <w:r>
        <w:t xml:space="preserve">.</w:t>
      </w:r>
    </w:p>
    <w:bookmarkEnd w:id="126"/>
    <w:bookmarkStart w:id="128"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27">
        <w:r>
          <w:rPr>
            <w:rStyle w:val="Hyperlink"/>
          </w:rPr>
          <w:t xml:space="preserve">https://doi.org/10.1016/j.cis.2010.06.007</w:t>
        </w:r>
      </w:hyperlink>
      <w:r>
        <w:t xml:space="preserve">.</w:t>
      </w:r>
    </w:p>
    <w:bookmarkEnd w:id="128"/>
    <w:bookmarkStart w:id="130" w:name="ref-Meyer1983"/>
    <w:p>
      <w:pPr>
        <w:pStyle w:val="Bibliography"/>
      </w:pPr>
      <w:r>
        <w:t xml:space="preserve">Meyer, Judy L., and Cathy M . Tate. 1983. “The Effects of Watershed Disturbance on Dissolved Organic Carbon Dynamics of a Stream Author.”</w:t>
      </w:r>
      <w:r>
        <w:t xml:space="preserve"> </w:t>
      </w:r>
      <w:r>
        <w:rPr>
          <w:i/>
        </w:rPr>
        <w:t xml:space="preserve">Ecology</w:t>
      </w:r>
      <w:r>
        <w:t xml:space="preserve"> </w:t>
      </w:r>
      <w:r>
        <w:t xml:space="preserve">64 (1): 33–44.</w:t>
      </w:r>
      <w:r>
        <w:t xml:space="preserve"> </w:t>
      </w:r>
      <w:hyperlink r:id="rId129">
        <w:r>
          <w:rPr>
            <w:rStyle w:val="Hyperlink"/>
          </w:rPr>
          <w:t xml:space="preserve">https://www.jstor.org/stable/1937326</w:t>
        </w:r>
      </w:hyperlink>
      <w:r>
        <w:t xml:space="preserve">.</w:t>
      </w:r>
    </w:p>
    <w:bookmarkEnd w:id="130"/>
    <w:bookmarkStart w:id="131"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31"/>
    <w:bookmarkStart w:id="133"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32">
        <w:r>
          <w:rPr>
            <w:rStyle w:val="Hyperlink"/>
          </w:rPr>
          <w:t xml:space="preserve">https://doi.org/10.1007/s10533-015-0103-6</w:t>
        </w:r>
      </w:hyperlink>
      <w:r>
        <w:t xml:space="preserve">.</w:t>
      </w:r>
    </w:p>
    <w:bookmarkEnd w:id="133"/>
    <w:bookmarkStart w:id="135"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34">
        <w:r>
          <w:rPr>
            <w:rStyle w:val="Hyperlink"/>
          </w:rPr>
          <w:t xml:space="preserve">https://doi.org/10.5194/bg-10-2315-2013</w:t>
        </w:r>
      </w:hyperlink>
      <w:r>
        <w:t xml:space="preserve">.</w:t>
      </w:r>
    </w:p>
    <w:bookmarkEnd w:id="135"/>
    <w:bookmarkStart w:id="137"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36">
        <w:r>
          <w:rPr>
            <w:rStyle w:val="Hyperlink"/>
          </w:rPr>
          <w:t xml:space="preserve">https://doi.org/10.1007/s11270-013-1651-9</w:t>
        </w:r>
      </w:hyperlink>
      <w:r>
        <w:t xml:space="preserve">.</w:t>
      </w:r>
    </w:p>
    <w:bookmarkEnd w:id="137"/>
    <w:bookmarkStart w:id="13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38">
        <w:r>
          <w:rPr>
            <w:rStyle w:val="Hyperlink"/>
          </w:rPr>
          <w:t xml:space="preserve">https://doi.org/10.1016/S0003-2670(96)00412-6</w:t>
        </w:r>
      </w:hyperlink>
      <w:r>
        <w:t xml:space="preserve">.</w:t>
      </w:r>
    </w:p>
    <w:bookmarkEnd w:id="139"/>
    <w:bookmarkStart w:id="14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40">
        <w:r>
          <w:rPr>
            <w:rStyle w:val="Hyperlink"/>
          </w:rPr>
          <w:t xml:space="preserve">https://www.for.gov.bc.ca/hfd/pubs/docs/lmh/Lmh66/LMH66{\_}volume2of2.pdf</w:t>
        </w:r>
      </w:hyperlink>
      <w:r>
        <w:t xml:space="preserve">.</w:t>
      </w:r>
    </w:p>
    <w:bookmarkEnd w:id="141"/>
    <w:bookmarkStart w:id="142"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42"/>
    <w:bookmarkStart w:id="144"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43">
        <w:r>
          <w:rPr>
            <w:rStyle w:val="Hyperlink"/>
          </w:rPr>
          <w:t xml:space="preserve">https://doi.org/10.1007/sl0533-010-9416-7</w:t>
        </w:r>
      </w:hyperlink>
      <w:r>
        <w:t xml:space="preserve">.</w:t>
      </w:r>
    </w:p>
    <w:bookmarkEnd w:id="144"/>
    <w:bookmarkStart w:id="146"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45">
        <w:r>
          <w:rPr>
            <w:rStyle w:val="Hyperlink"/>
          </w:rPr>
          <w:t xml:space="preserve">https://www.jstor.org/stable/24702986</w:t>
        </w:r>
      </w:hyperlink>
      <w:r>
        <w:t xml:space="preserve">.</w:t>
      </w:r>
    </w:p>
    <w:bookmarkEnd w:id="146"/>
    <w:bookmarkStart w:id="148"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47">
        <w:r>
          <w:rPr>
            <w:rStyle w:val="Hyperlink"/>
          </w:rPr>
          <w:t xml:space="preserve">https://doi.org/10.1016/j.mrrev.2007.09.001</w:t>
        </w:r>
      </w:hyperlink>
      <w:r>
        <w:t xml:space="preserve">.</w:t>
      </w:r>
    </w:p>
    <w:bookmarkEnd w:id="148"/>
    <w:bookmarkStart w:id="150"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49">
        <w:r>
          <w:rPr>
            <w:rStyle w:val="Hyperlink"/>
          </w:rPr>
          <w:t xml:space="preserve">https://doi.org/10.1111/j.1365-2427.2011.02613.x</w:t>
        </w:r>
      </w:hyperlink>
      <w:r>
        <w:t xml:space="preserve">.</w:t>
      </w:r>
    </w:p>
    <w:bookmarkEnd w:id="150"/>
    <w:bookmarkStart w:id="15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51"/>
    <w:bookmarkStart w:id="15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52"/>
    <w:bookmarkStart w:id="154"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53">
        <w:r>
          <w:rPr>
            <w:rStyle w:val="Hyperlink"/>
          </w:rPr>
          <w:t xml:space="preserve">https://doi.org/10.1007/s10533-008-9207-6</w:t>
        </w:r>
      </w:hyperlink>
      <w:r>
        <w:t xml:space="preserve">.</w:t>
      </w:r>
    </w:p>
    <w:bookmarkEnd w:id="154"/>
    <w:bookmarkStart w:id="156"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55">
        <w:r>
          <w:rPr>
            <w:rStyle w:val="Hyperlink"/>
          </w:rPr>
          <w:t xml:space="preserve">https://doi.org/10.1021/es030360x</w:t>
        </w:r>
      </w:hyperlink>
      <w:r>
        <w:t xml:space="preserve">.</w:t>
      </w:r>
    </w:p>
    <w:bookmarkEnd w:id="156"/>
    <w:bookmarkStart w:id="158"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57">
        <w:r>
          <w:rPr>
            <w:rStyle w:val="Hyperlink"/>
          </w:rPr>
          <w:t xml:space="preserve">https://doi.org/10.1007/s11356-015-4078-6</w:t>
        </w:r>
      </w:hyperlink>
      <w:r>
        <w:t xml:space="preserve">.</w:t>
      </w:r>
    </w:p>
    <w:bookmarkEnd w:id="158"/>
    <w:bookmarkStart w:id="160"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59">
        <w:r>
          <w:rPr>
            <w:rStyle w:val="Hyperlink"/>
          </w:rPr>
          <w:t xml:space="preserve">https://doi.org/10.1029/2018GL080005</w:t>
        </w:r>
      </w:hyperlink>
      <w:r>
        <w:t xml:space="preserve">.</w:t>
      </w:r>
    </w:p>
    <w:bookmarkEnd w:id="160"/>
    <w:bookmarkEnd w:id="161"/>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AC158D">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992BED" w:rsidP="00AC158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C158D"/>
    <w:rPr>
      <w:rFonts w:ascii="Ebrima" w:hAnsi="Ebrima"/>
    </w:rPr>
  </w:style>
  <w:style w:type="paragraph" w:styleId="Heading1">
    <w:name w:val="heading 1"/>
    <w:basedOn w:val="Normal"/>
    <w:next w:val="Normal"/>
    <w:link w:val="Heading1Char"/>
    <w:uiPriority w:val="9"/>
    <w:qFormat/>
    <w:rsid w:val="00810D36"/>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810D36"/>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810D36"/>
    <w:pPr>
      <w:keepNext/>
      <w:keepLines/>
      <w:spacing w:before="2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810D36"/>
    <w:pPr>
      <w:keepNext/>
      <w:keepLines/>
      <w:spacing w:before="240" w:after="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810D36"/>
    <w:pPr>
      <w:spacing w:before="240" w:after="240"/>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7596"/>
    <w:pPr>
      <w:spacing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597596"/>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810D36"/>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810D36"/>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810D36"/>
    <w:rPr>
      <w:rFonts w:ascii="Segoe UI" w:eastAsiaTheme="majorEastAsia" w:hAnsi="Segoe UI" w:cs="Segoe UI"/>
      <w:b/>
      <w:szCs w:val="28"/>
    </w:rPr>
  </w:style>
  <w:style w:type="character" w:customStyle="1" w:styleId="Heading4Char">
    <w:name w:val="Heading 4 Char"/>
    <w:basedOn w:val="DefaultParagraphFont"/>
    <w:link w:val="Heading4"/>
    <w:uiPriority w:val="9"/>
    <w:rsid w:val="00810D36"/>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810D36"/>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A9074C"/>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47" Target="media/rId47.jp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hyperlink" Id="rId49" Target="http://odysseydatarecording.com/index.php?route=product/product&amp;product_id=50" TargetMode="External" /><Relationship Type="http://schemas.openxmlformats.org/officeDocument/2006/relationships/hyperlink" Id="rId99" Target="http://scholar.google.com/scholar?hl=en%7B\&amp;%7DbtnG=Search%7B\&amp;%7Dq=intitle:Running+Pure%7B\#%7D1" TargetMode="External" /><Relationship Type="http://schemas.openxmlformats.org/officeDocument/2006/relationships/hyperlink" Id="rId27" Target="http://stackoverflow.com" TargetMode="External" /><Relationship Type="http://schemas.openxmlformats.org/officeDocument/2006/relationships/hyperlink" Id="rId101" Target="http://www.standardmethods.org/" TargetMode="External" /><Relationship Type="http://schemas.openxmlformats.org/officeDocument/2006/relationships/hyperlink" Id="rId121" Target="https://archive.org/details/metaltransportre00lazeuoft/mode/2up" TargetMode="External" /><Relationship Type="http://schemas.openxmlformats.org/officeDocument/2006/relationships/hyperlink" Id="rId117" Target="https://doi.org/10.1002/j.1551-8833.1995.tb06302.x" TargetMode="External" /><Relationship Type="http://schemas.openxmlformats.org/officeDocument/2006/relationships/hyperlink" Id="rId153" Target="https://doi.org/10.1007/s10533-008-9207-6" TargetMode="External" /><Relationship Type="http://schemas.openxmlformats.org/officeDocument/2006/relationships/hyperlink" Id="rId132" Target="https://doi.org/10.1007/s10533-015-0103-6" TargetMode="External" /><Relationship Type="http://schemas.openxmlformats.org/officeDocument/2006/relationships/hyperlink" Id="rId136" Target="https://doi.org/10.1007/s11270-013-1651-9" TargetMode="External" /><Relationship Type="http://schemas.openxmlformats.org/officeDocument/2006/relationships/hyperlink" Id="rId157" Target="https://doi.org/10.1007/s11356-015-4078-6" TargetMode="External" /><Relationship Type="http://schemas.openxmlformats.org/officeDocument/2006/relationships/hyperlink" Id="rId143" Target="https://doi.org/10.1007/sl0533-010-9416-7" TargetMode="External" /><Relationship Type="http://schemas.openxmlformats.org/officeDocument/2006/relationships/hyperlink" Id="rId95" Target="https://doi.org/10.1016/B978-0-12-382092-1.00019-1" TargetMode="External" /><Relationship Type="http://schemas.openxmlformats.org/officeDocument/2006/relationships/hyperlink" Id="rId138" Target="https://doi.org/10.1016/S0003-2670(96)00412-6" TargetMode="External" /><Relationship Type="http://schemas.openxmlformats.org/officeDocument/2006/relationships/hyperlink" Id="rId125" Target="https://doi.org/10.1016/j.chemosphere.2011.01.018" TargetMode="External" /><Relationship Type="http://schemas.openxmlformats.org/officeDocument/2006/relationships/hyperlink" Id="rId115" Target="https://doi.org/10.1016/j.chemosphere.2015.03.039" TargetMode="External" /><Relationship Type="http://schemas.openxmlformats.org/officeDocument/2006/relationships/hyperlink" Id="rId127" Target="https://doi.org/10.1016/j.cis.2010.06.007" TargetMode="External" /><Relationship Type="http://schemas.openxmlformats.org/officeDocument/2006/relationships/hyperlink" Id="rId123" Target="https://doi.org/10.1016/j.jhazmat.2014.02.009" TargetMode="External" /><Relationship Type="http://schemas.openxmlformats.org/officeDocument/2006/relationships/hyperlink" Id="rId86" Target="https://doi.org/10.1016/j.jhydrol.2014.05.060" TargetMode="External" /><Relationship Type="http://schemas.openxmlformats.org/officeDocument/2006/relationships/hyperlink" Id="rId147" Target="https://doi.org/10.1016/j.mrrev.2007.09.001" TargetMode="External" /><Relationship Type="http://schemas.openxmlformats.org/officeDocument/2006/relationships/hyperlink" Id="rId103" Target="https://doi.org/10.1016/j.watres.2010.08.051" TargetMode="External" /><Relationship Type="http://schemas.openxmlformats.org/officeDocument/2006/relationships/hyperlink" Id="rId97" Target="https://doi.org/10.1016/j.watres.2016.08.031" TargetMode="External" /><Relationship Type="http://schemas.openxmlformats.org/officeDocument/2006/relationships/hyperlink" Id="rId155" Target="https://doi.org/10.1021/es030360x" TargetMode="External" /><Relationship Type="http://schemas.openxmlformats.org/officeDocument/2006/relationships/hyperlink" Id="rId84" Target="https://doi.org/10.1021/es103992s" TargetMode="External" /><Relationship Type="http://schemas.openxmlformats.org/officeDocument/2006/relationships/hyperlink" Id="rId159" Target="https://doi.org/10.1029/2018GL080005" TargetMode="External" /><Relationship Type="http://schemas.openxmlformats.org/officeDocument/2006/relationships/hyperlink" Id="rId82" Target="https://doi.org/10.1111/ele.12897" TargetMode="External" /><Relationship Type="http://schemas.openxmlformats.org/officeDocument/2006/relationships/hyperlink" Id="rId149" Target="https://doi.org/10.1111/j.1365-2427.2011.02613.x" TargetMode="External" /><Relationship Type="http://schemas.openxmlformats.org/officeDocument/2006/relationships/hyperlink" Id="rId93" Target="https://doi.org/10.1139/cjfas-2014-0400" TargetMode="External" /><Relationship Type="http://schemas.openxmlformats.org/officeDocument/2006/relationships/hyperlink" Id="rId91" Target="https://doi.org/10.2166/aqua.2008.064" TargetMode="External" /><Relationship Type="http://schemas.openxmlformats.org/officeDocument/2006/relationships/hyperlink" Id="rId105" Target="https://doi.org/10.3133/fs06700" TargetMode="External" /><Relationship Type="http://schemas.openxmlformats.org/officeDocument/2006/relationships/hyperlink" Id="rId134" Target="https://doi.org/10.5194/bg-10-2315-2013" TargetMode="External" /><Relationship Type="http://schemas.openxmlformats.org/officeDocument/2006/relationships/hyperlink" Id="rId119" Target="https://doi.org/doi:10.1046/j.1365-2427.1997.d01-539.x" TargetMode="External" /><Relationship Type="http://schemas.openxmlformats.org/officeDocument/2006/relationships/hyperlink" Id="rId107" Target="https://www.canada.ca/content/dam/hc-sc/documents/programs/consultation-organic-matter-drinking-water/NOM20190129-eng.pdf" TargetMode="External" /><Relationship Type="http://schemas.openxmlformats.org/officeDocument/2006/relationships/hyperlink" Id="rId109" Target="https://www.canada.ca/en/health-canada/services/healthy-living/your-health/environment/drinking-water-chlorination.html" TargetMode="External" /><Relationship Type="http://schemas.openxmlformats.org/officeDocument/2006/relationships/hyperlink" Id="rId140"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11" Target="https://www.healthlinkbc.ca/healthlinkbc-files/drinking-water-chlorination" TargetMode="External" /><Relationship Type="http://schemas.openxmlformats.org/officeDocument/2006/relationships/hyperlink" Id="rId129" Target="https://www.jstor.org/stable/1937326" TargetMode="External" /><Relationship Type="http://schemas.openxmlformats.org/officeDocument/2006/relationships/hyperlink" Id="rId145" Target="https://www.jstor.org/stable/24702986" TargetMode="External" /><Relationship Type="http://schemas.openxmlformats.org/officeDocument/2006/relationships/hyperlink" Id="rId113" Target="https://www.jstor.org/stable/40058211" TargetMode="External" /><Relationship Type="http://schemas.openxmlformats.org/officeDocument/2006/relationships/hyperlink" Id="rId8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9" Target="http://odysseydatarecording.com/index.php?route=product/product&amp;product_id=50" TargetMode="External" /><Relationship Type="http://schemas.openxmlformats.org/officeDocument/2006/relationships/hyperlink" Id="rId99" Target="http://scholar.google.com/scholar?hl=en%7B\&amp;%7DbtnG=Search%7B\&amp;%7Dq=intitle:Running+Pure%7B\#%7D1" TargetMode="External" /><Relationship Type="http://schemas.openxmlformats.org/officeDocument/2006/relationships/hyperlink" Id="rId27" Target="http://stackoverflow.com" TargetMode="External" /><Relationship Type="http://schemas.openxmlformats.org/officeDocument/2006/relationships/hyperlink" Id="rId101" Target="http://www.standardmethods.org/" TargetMode="External" /><Relationship Type="http://schemas.openxmlformats.org/officeDocument/2006/relationships/hyperlink" Id="rId121" Target="https://archive.org/details/metaltransportre00lazeuoft/mode/2up" TargetMode="External" /><Relationship Type="http://schemas.openxmlformats.org/officeDocument/2006/relationships/hyperlink" Id="rId117" Target="https://doi.org/10.1002/j.1551-8833.1995.tb06302.x" TargetMode="External" /><Relationship Type="http://schemas.openxmlformats.org/officeDocument/2006/relationships/hyperlink" Id="rId153" Target="https://doi.org/10.1007/s10533-008-9207-6" TargetMode="External" /><Relationship Type="http://schemas.openxmlformats.org/officeDocument/2006/relationships/hyperlink" Id="rId132" Target="https://doi.org/10.1007/s10533-015-0103-6" TargetMode="External" /><Relationship Type="http://schemas.openxmlformats.org/officeDocument/2006/relationships/hyperlink" Id="rId136" Target="https://doi.org/10.1007/s11270-013-1651-9" TargetMode="External" /><Relationship Type="http://schemas.openxmlformats.org/officeDocument/2006/relationships/hyperlink" Id="rId157" Target="https://doi.org/10.1007/s11356-015-4078-6" TargetMode="External" /><Relationship Type="http://schemas.openxmlformats.org/officeDocument/2006/relationships/hyperlink" Id="rId143" Target="https://doi.org/10.1007/sl0533-010-9416-7" TargetMode="External" /><Relationship Type="http://schemas.openxmlformats.org/officeDocument/2006/relationships/hyperlink" Id="rId95" Target="https://doi.org/10.1016/B978-0-12-382092-1.00019-1" TargetMode="External" /><Relationship Type="http://schemas.openxmlformats.org/officeDocument/2006/relationships/hyperlink" Id="rId138" Target="https://doi.org/10.1016/S0003-2670(96)00412-6" TargetMode="External" /><Relationship Type="http://schemas.openxmlformats.org/officeDocument/2006/relationships/hyperlink" Id="rId125" Target="https://doi.org/10.1016/j.chemosphere.2011.01.018" TargetMode="External" /><Relationship Type="http://schemas.openxmlformats.org/officeDocument/2006/relationships/hyperlink" Id="rId115" Target="https://doi.org/10.1016/j.chemosphere.2015.03.039" TargetMode="External" /><Relationship Type="http://schemas.openxmlformats.org/officeDocument/2006/relationships/hyperlink" Id="rId127" Target="https://doi.org/10.1016/j.cis.2010.06.007" TargetMode="External" /><Relationship Type="http://schemas.openxmlformats.org/officeDocument/2006/relationships/hyperlink" Id="rId123" Target="https://doi.org/10.1016/j.jhazmat.2014.02.009" TargetMode="External" /><Relationship Type="http://schemas.openxmlformats.org/officeDocument/2006/relationships/hyperlink" Id="rId86" Target="https://doi.org/10.1016/j.jhydrol.2014.05.060" TargetMode="External" /><Relationship Type="http://schemas.openxmlformats.org/officeDocument/2006/relationships/hyperlink" Id="rId147" Target="https://doi.org/10.1016/j.mrrev.2007.09.001" TargetMode="External" /><Relationship Type="http://schemas.openxmlformats.org/officeDocument/2006/relationships/hyperlink" Id="rId103" Target="https://doi.org/10.1016/j.watres.2010.08.051" TargetMode="External" /><Relationship Type="http://schemas.openxmlformats.org/officeDocument/2006/relationships/hyperlink" Id="rId97" Target="https://doi.org/10.1016/j.watres.2016.08.031" TargetMode="External" /><Relationship Type="http://schemas.openxmlformats.org/officeDocument/2006/relationships/hyperlink" Id="rId155" Target="https://doi.org/10.1021/es030360x" TargetMode="External" /><Relationship Type="http://schemas.openxmlformats.org/officeDocument/2006/relationships/hyperlink" Id="rId84" Target="https://doi.org/10.1021/es103992s" TargetMode="External" /><Relationship Type="http://schemas.openxmlformats.org/officeDocument/2006/relationships/hyperlink" Id="rId159" Target="https://doi.org/10.1029/2018GL080005" TargetMode="External" /><Relationship Type="http://schemas.openxmlformats.org/officeDocument/2006/relationships/hyperlink" Id="rId82" Target="https://doi.org/10.1111/ele.12897" TargetMode="External" /><Relationship Type="http://schemas.openxmlformats.org/officeDocument/2006/relationships/hyperlink" Id="rId149" Target="https://doi.org/10.1111/j.1365-2427.2011.02613.x" TargetMode="External" /><Relationship Type="http://schemas.openxmlformats.org/officeDocument/2006/relationships/hyperlink" Id="rId93" Target="https://doi.org/10.1139/cjfas-2014-0400" TargetMode="External" /><Relationship Type="http://schemas.openxmlformats.org/officeDocument/2006/relationships/hyperlink" Id="rId91" Target="https://doi.org/10.2166/aqua.2008.064" TargetMode="External" /><Relationship Type="http://schemas.openxmlformats.org/officeDocument/2006/relationships/hyperlink" Id="rId105" Target="https://doi.org/10.3133/fs06700" TargetMode="External" /><Relationship Type="http://schemas.openxmlformats.org/officeDocument/2006/relationships/hyperlink" Id="rId134" Target="https://doi.org/10.5194/bg-10-2315-2013" TargetMode="External" /><Relationship Type="http://schemas.openxmlformats.org/officeDocument/2006/relationships/hyperlink" Id="rId119" Target="https://doi.org/doi:10.1046/j.1365-2427.1997.d01-539.x" TargetMode="External" /><Relationship Type="http://schemas.openxmlformats.org/officeDocument/2006/relationships/hyperlink" Id="rId107" Target="https://www.canada.ca/content/dam/hc-sc/documents/programs/consultation-organic-matter-drinking-water/NOM20190129-eng.pdf" TargetMode="External" /><Relationship Type="http://schemas.openxmlformats.org/officeDocument/2006/relationships/hyperlink" Id="rId109" Target="https://www.canada.ca/en/health-canada/services/healthy-living/your-health/environment/drinking-water-chlorination.html" TargetMode="External" /><Relationship Type="http://schemas.openxmlformats.org/officeDocument/2006/relationships/hyperlink" Id="rId140"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11" Target="https://www.healthlinkbc.ca/healthlinkbc-files/drinking-water-chlorination" TargetMode="External" /><Relationship Type="http://schemas.openxmlformats.org/officeDocument/2006/relationships/hyperlink" Id="rId129" Target="https://www.jstor.org/stable/1937326" TargetMode="External" /><Relationship Type="http://schemas.openxmlformats.org/officeDocument/2006/relationships/hyperlink" Id="rId145" Target="https://www.jstor.org/stable/24702986" TargetMode="External" /><Relationship Type="http://schemas.openxmlformats.org/officeDocument/2006/relationships/hyperlink" Id="rId113" Target="https://www.jstor.org/stable/40058211" TargetMode="External" /><Relationship Type="http://schemas.openxmlformats.org/officeDocument/2006/relationships/hyperlink" Id="rId8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4</Pages>
  <Words>104</Words>
  <Characters>593</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2020-03-12T03:36:58Z</dcterms:created>
  <dcterms:modified xsi:type="dcterms:W3CDTF">2020-03-12T03:36:58Z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